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76697474" w:rsidR="00E90E49" w:rsidRPr="00F309F7" w:rsidRDefault="00E90E49" w:rsidP="00E35559">
      <w:pPr>
        <w:pStyle w:val="3GPPHeader"/>
        <w:spacing w:after="60"/>
        <w:rPr>
          <w:sz w:val="28"/>
          <w:szCs w:val="32"/>
          <w:highlight w:val="yellow"/>
        </w:rPr>
      </w:pPr>
      <w:r w:rsidRPr="00CE0424">
        <w:t>3GPP TSG-RAN WG</w:t>
      </w:r>
      <w:r w:rsidR="00F20F5C">
        <w:t>2</w:t>
      </w:r>
      <w:r w:rsidRPr="00CE0424">
        <w:t xml:space="preserve"> #</w:t>
      </w:r>
      <w:r w:rsidR="00F20F5C">
        <w:t>1</w:t>
      </w:r>
      <w:r w:rsidR="00C268E6">
        <w:t>1</w:t>
      </w:r>
      <w:r w:rsidR="00FD2132">
        <w:t>6</w:t>
      </w:r>
      <w:r w:rsidR="008D6252">
        <w:t>-</w:t>
      </w:r>
      <w:r w:rsidR="00F20F5C">
        <w:t>e</w:t>
      </w:r>
      <w:r w:rsidRPr="00CE0424">
        <w:tab/>
      </w:r>
      <w:bookmarkStart w:id="0" w:name="_GoBack"/>
      <w:r w:rsidR="00BF040F" w:rsidRPr="00BF040F">
        <w:rPr>
          <w:rFonts w:cs="Arial"/>
          <w:bCs/>
          <w:szCs w:val="26"/>
        </w:rPr>
        <w:t>R2-2109913</w:t>
      </w:r>
      <w:bookmarkEnd w:id="0"/>
    </w:p>
    <w:p w14:paraId="0C6B28B3" w14:textId="64534F3D" w:rsidR="00E90E49" w:rsidRPr="00CE0424" w:rsidRDefault="00C268E6" w:rsidP="00311702">
      <w:pPr>
        <w:pStyle w:val="3GPPHeader"/>
      </w:pPr>
      <w:r>
        <w:t xml:space="preserve">Electronic meeting, </w:t>
      </w:r>
      <w:r w:rsidR="00FD2132">
        <w:t>November</w:t>
      </w:r>
      <w:r w:rsidR="009A41FC" w:rsidRPr="00C81F1A">
        <w:t xml:space="preserve"> </w:t>
      </w:r>
      <w:r w:rsidR="00FD2132">
        <w:t>1</w:t>
      </w:r>
      <w:r w:rsidR="00FD2132" w:rsidRPr="00FD2132">
        <w:rPr>
          <w:vertAlign w:val="superscript"/>
        </w:rPr>
        <w:t>st</w:t>
      </w:r>
      <w:r w:rsidR="009A41FC">
        <w:t xml:space="preserve"> – </w:t>
      </w:r>
      <w:r w:rsidR="00FD2132">
        <w:t>12</w:t>
      </w:r>
      <w:r w:rsidR="009A41FC" w:rsidRPr="009D332C">
        <w:rPr>
          <w:vertAlign w:val="superscript"/>
        </w:rPr>
        <w:t>th</w:t>
      </w:r>
      <w:r w:rsidR="009A41FC">
        <w:t xml:space="preserve"> </w:t>
      </w:r>
      <w:r w:rsidR="009A41FC" w:rsidRPr="00C81F1A">
        <w:t>202</w:t>
      </w:r>
      <w:r w:rsidR="009A41FC">
        <w:t>1</w:t>
      </w:r>
    </w:p>
    <w:p w14:paraId="06051D58" w14:textId="77777777" w:rsidR="00E90E49" w:rsidRPr="00CE0424" w:rsidRDefault="00E90E49" w:rsidP="00357380">
      <w:pPr>
        <w:pStyle w:val="3GPPHeader"/>
      </w:pPr>
    </w:p>
    <w:p w14:paraId="0D4362EF" w14:textId="0F21182B" w:rsidR="00E90E49" w:rsidRPr="00F20CAB" w:rsidRDefault="00E90E49" w:rsidP="00311702">
      <w:pPr>
        <w:pStyle w:val="3GPPHeader"/>
        <w:rPr>
          <w:sz w:val="22"/>
          <w:szCs w:val="22"/>
          <w:lang w:val="en-US"/>
        </w:rPr>
      </w:pPr>
      <w:r w:rsidRPr="00F20CAB">
        <w:rPr>
          <w:sz w:val="22"/>
          <w:szCs w:val="22"/>
          <w:lang w:val="en-US"/>
        </w:rPr>
        <w:t>Agenda Item:</w:t>
      </w:r>
      <w:r w:rsidRPr="00F20CAB">
        <w:rPr>
          <w:sz w:val="22"/>
          <w:szCs w:val="22"/>
          <w:lang w:val="en-US"/>
        </w:rPr>
        <w:tab/>
      </w:r>
      <w:r w:rsidR="00D72970" w:rsidRPr="00F20CAB">
        <w:rPr>
          <w:sz w:val="22"/>
          <w:szCs w:val="22"/>
          <w:lang w:val="en-US"/>
        </w:rPr>
        <w:t>9.1.2</w:t>
      </w:r>
    </w:p>
    <w:p w14:paraId="6D3713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45444" w14:textId="3CAE1232" w:rsidR="00E90E49" w:rsidRPr="00CE0424" w:rsidRDefault="003D3C45" w:rsidP="00311702">
      <w:pPr>
        <w:pStyle w:val="3GPPHeader"/>
        <w:rPr>
          <w:sz w:val="22"/>
          <w:szCs w:val="22"/>
        </w:rPr>
      </w:pPr>
      <w:r>
        <w:rPr>
          <w:sz w:val="22"/>
          <w:szCs w:val="22"/>
        </w:rPr>
        <w:t>Title:</w:t>
      </w:r>
      <w:r w:rsidR="00E90E49" w:rsidRPr="00CE0424">
        <w:rPr>
          <w:sz w:val="22"/>
          <w:szCs w:val="22"/>
        </w:rPr>
        <w:tab/>
      </w:r>
      <w:r w:rsidR="008D6252">
        <w:rPr>
          <w:sz w:val="22"/>
          <w:szCs w:val="22"/>
        </w:rPr>
        <w:t xml:space="preserve">Discussion on </w:t>
      </w:r>
      <w:r w:rsidR="00121375">
        <w:rPr>
          <w:sz w:val="22"/>
          <w:szCs w:val="22"/>
        </w:rPr>
        <w:t>connected mode measurement</w:t>
      </w:r>
      <w:r w:rsidR="00621BED">
        <w:rPr>
          <w:sz w:val="22"/>
          <w:szCs w:val="22"/>
        </w:rPr>
        <w:t xml:space="preserve"> in NB-</w:t>
      </w:r>
      <w:r w:rsidR="00B427B9">
        <w:rPr>
          <w:sz w:val="22"/>
          <w:szCs w:val="22"/>
        </w:rPr>
        <w:t>IoT</w:t>
      </w:r>
    </w:p>
    <w:p w14:paraId="5C51A0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F46">
        <w:rPr>
          <w:sz w:val="22"/>
          <w:szCs w:val="22"/>
        </w:rPr>
        <w:t>Discussion, Decision</w:t>
      </w:r>
    </w:p>
    <w:p w14:paraId="427C9DB9" w14:textId="77777777" w:rsidR="00E90E49" w:rsidRPr="00CE0424" w:rsidRDefault="00E90E49" w:rsidP="00E90E49"/>
    <w:p w14:paraId="41BB9514" w14:textId="6730E635" w:rsidR="00E90E49" w:rsidRPr="00CE0424" w:rsidRDefault="00E90E49" w:rsidP="009108CA">
      <w:pPr>
        <w:pStyle w:val="Heading1"/>
        <w:numPr>
          <w:ilvl w:val="0"/>
          <w:numId w:val="19"/>
        </w:numPr>
        <w:ind w:hanging="810"/>
      </w:pPr>
      <w:r w:rsidRPr="00CE0424">
        <w:t>Introduction</w:t>
      </w:r>
    </w:p>
    <w:p w14:paraId="5452F60F" w14:textId="56EEFB8B" w:rsidR="00477768" w:rsidRDefault="00381C29" w:rsidP="00CE0424">
      <w:pPr>
        <w:pStyle w:val="BodyText"/>
      </w:pPr>
      <w:r>
        <w:t>In Rel-17</w:t>
      </w:r>
      <w:r w:rsidR="00FF2AAE">
        <w:t>,</w:t>
      </w:r>
      <w:r>
        <w:t xml:space="preserve"> one of the </w:t>
      </w:r>
      <w:r w:rsidR="00872070">
        <w:t>objectives in</w:t>
      </w:r>
      <w:r w:rsidR="00FF2AAE">
        <w:t xml:space="preserve"> the</w:t>
      </w:r>
      <w:r w:rsidR="00872070">
        <w:t xml:space="preserve"> </w:t>
      </w:r>
      <w:r>
        <w:t>WI</w:t>
      </w:r>
      <w:r w:rsidR="00872070">
        <w:t>D</w:t>
      </w:r>
      <w:r>
        <w:t xml:space="preserve"> is:</w:t>
      </w:r>
    </w:p>
    <w:p w14:paraId="0DB67678" w14:textId="328FC1F6" w:rsidR="00381C29" w:rsidRDefault="00381C29" w:rsidP="009108CA">
      <w:pPr>
        <w:widowControl w:val="0"/>
        <w:numPr>
          <w:ilvl w:val="0"/>
          <w:numId w:val="13"/>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Specify signaling for neighbor cell measurements and corresponding measurement triggering before RLF, to </w:t>
      </w:r>
      <w:bookmarkStart w:id="1" w:name="_Hlk54086256"/>
      <w:r>
        <w:rPr>
          <w:rFonts w:eastAsia="DengXian"/>
          <w:lang w:val="en-US" w:eastAsia="zh-CN"/>
        </w:rPr>
        <w:t>reduce the time taken to RRC reestablishment to another cell</w:t>
      </w:r>
      <w:bookmarkEnd w:id="1"/>
      <w:r>
        <w:rPr>
          <w:rFonts w:eastAsia="DengXian"/>
          <w:lang w:val="en-US" w:eastAsia="zh-CN"/>
        </w:rPr>
        <w:t>, without defining specific gaps. [NB-IoT] [RAN2, RAN4].</w:t>
      </w:r>
    </w:p>
    <w:p w14:paraId="5010B749" w14:textId="2C5438D9" w:rsidR="00FA5AD7" w:rsidRDefault="00FA5AD7" w:rsidP="00FA5AD7">
      <w:pPr>
        <w:widowControl w:val="0"/>
        <w:overflowPunct/>
        <w:autoSpaceDE/>
        <w:adjustRightInd/>
        <w:spacing w:after="0" w:line="360" w:lineRule="auto"/>
        <w:contextualSpacing/>
        <w:jc w:val="both"/>
        <w:textAlignment w:val="auto"/>
        <w:rPr>
          <w:rFonts w:eastAsia="DengXian"/>
          <w:lang w:val="en-US" w:eastAsia="zh-CN"/>
        </w:rPr>
      </w:pPr>
    </w:p>
    <w:p w14:paraId="7D3A3AEB" w14:textId="237558C3" w:rsidR="00FA5AD7" w:rsidRDefault="00FA5AD7" w:rsidP="00FA5AD7">
      <w:pPr>
        <w:spacing w:line="276" w:lineRule="auto"/>
        <w:jc w:val="both"/>
        <w:rPr>
          <w:rFonts w:eastAsia="MS Mincho" w:cs="Arial"/>
          <w:lang w:val="en-US"/>
        </w:rPr>
      </w:pPr>
      <w:r>
        <w:rPr>
          <w:rFonts w:eastAsia="MS Mincho" w:cs="Arial"/>
          <w:highlight w:val="green"/>
          <w:lang w:val="en-US"/>
        </w:rPr>
        <w:t>RAN2#111-e agreements:</w:t>
      </w:r>
    </w:p>
    <w:tbl>
      <w:tblPr>
        <w:tblStyle w:val="TableGrid"/>
        <w:tblW w:w="0" w:type="auto"/>
        <w:tblInd w:w="1255" w:type="dxa"/>
        <w:tblLook w:val="04A0" w:firstRow="1" w:lastRow="0" w:firstColumn="1" w:lastColumn="0" w:noHBand="0" w:noVBand="1"/>
      </w:tblPr>
      <w:tblGrid>
        <w:gridCol w:w="8374"/>
      </w:tblGrid>
      <w:tr w:rsidR="00171AAF" w14:paraId="1488EE9F" w14:textId="77777777" w:rsidTr="00171AAF">
        <w:tc>
          <w:tcPr>
            <w:tcW w:w="8374" w:type="dxa"/>
          </w:tcPr>
          <w:p w14:paraId="204D8CB0" w14:textId="77777777" w:rsidR="00171AAF" w:rsidRDefault="00171AAF" w:rsidP="00933699">
            <w:pPr>
              <w:pStyle w:val="Doc-text2"/>
              <w:ind w:left="0" w:firstLine="0"/>
            </w:pPr>
            <w:r>
              <w:t>Agreements:</w:t>
            </w:r>
          </w:p>
          <w:p w14:paraId="5A1AFB8D" w14:textId="77777777" w:rsidR="00171AAF" w:rsidRDefault="00171AAF" w:rsidP="00933699">
            <w:pPr>
              <w:pStyle w:val="Doc-text2"/>
              <w:ind w:left="0" w:firstLine="0"/>
            </w:pPr>
          </w:p>
          <w:p w14:paraId="273E7FC2" w14:textId="77777777" w:rsidR="00050A97" w:rsidRDefault="00171AAF" w:rsidP="00050A97">
            <w:pPr>
              <w:pStyle w:val="ListParagraph"/>
              <w:numPr>
                <w:ilvl w:val="0"/>
                <w:numId w:val="18"/>
              </w:numPr>
              <w:overflowPunct/>
              <w:autoSpaceDE/>
              <w:autoSpaceDN/>
              <w:adjustRightInd/>
              <w:ind w:left="525" w:hanging="374"/>
              <w:textAlignment w:val="auto"/>
              <w:rPr>
                <w:szCs w:val="21"/>
              </w:rPr>
            </w:pPr>
            <w:r w:rsidRPr="0048718A">
              <w:rPr>
                <w:szCs w:val="21"/>
              </w:rPr>
              <w:t>Study current RLF procedure to understand the time taken to select the cell for access. Start and end points FFS.</w:t>
            </w:r>
          </w:p>
          <w:p w14:paraId="7260CB63" w14:textId="45F6C709" w:rsidR="00171AAF" w:rsidRPr="00050A97" w:rsidRDefault="00171AAF" w:rsidP="00050A97">
            <w:pPr>
              <w:pStyle w:val="ListParagraph"/>
              <w:numPr>
                <w:ilvl w:val="0"/>
                <w:numId w:val="18"/>
              </w:numPr>
              <w:overflowPunct/>
              <w:autoSpaceDE/>
              <w:autoSpaceDN/>
              <w:adjustRightInd/>
              <w:ind w:left="525" w:hanging="374"/>
              <w:textAlignment w:val="auto"/>
              <w:rPr>
                <w:szCs w:val="21"/>
              </w:rPr>
            </w:pPr>
            <w:r w:rsidRPr="00050A97">
              <w:rPr>
                <w:szCs w:val="21"/>
                <w:lang w:val="de-DE"/>
              </w:rPr>
              <w:t>Support neighbour cell measurements in RRC_CONNECTED, at least for intra-frequency.</w:t>
            </w:r>
          </w:p>
          <w:p w14:paraId="7612C253" w14:textId="77777777" w:rsidR="00050A97" w:rsidRDefault="00171AAF" w:rsidP="00050A97">
            <w:pPr>
              <w:pStyle w:val="ListParagraph"/>
              <w:numPr>
                <w:ilvl w:val="2"/>
                <w:numId w:val="18"/>
              </w:numPr>
              <w:overflowPunct/>
              <w:autoSpaceDE/>
              <w:autoSpaceDN/>
              <w:adjustRightInd/>
              <w:ind w:left="1065" w:hanging="450"/>
              <w:textAlignment w:val="auto"/>
              <w:rPr>
                <w:szCs w:val="21"/>
              </w:rPr>
            </w:pPr>
            <w:r>
              <w:rPr>
                <w:szCs w:val="21"/>
              </w:rPr>
              <w:t>FFS inter-frequency</w:t>
            </w:r>
          </w:p>
          <w:p w14:paraId="42DFEC33" w14:textId="77777777" w:rsidR="00050A97" w:rsidRPr="00050A97" w:rsidRDefault="00171AAF" w:rsidP="00050A97">
            <w:pPr>
              <w:pStyle w:val="ListParagraph"/>
              <w:numPr>
                <w:ilvl w:val="2"/>
                <w:numId w:val="18"/>
              </w:numPr>
              <w:overflowPunct/>
              <w:autoSpaceDE/>
              <w:autoSpaceDN/>
              <w:adjustRightInd/>
              <w:ind w:left="1065" w:hanging="450"/>
              <w:textAlignment w:val="auto"/>
              <w:rPr>
                <w:szCs w:val="21"/>
              </w:rPr>
            </w:pPr>
            <w:r w:rsidRPr="00050A97">
              <w:rPr>
                <w:szCs w:val="21"/>
                <w:lang w:val="de-DE"/>
              </w:rPr>
              <w:t>FFS whether measurements are done on the anchor carrier</w:t>
            </w:r>
          </w:p>
          <w:p w14:paraId="3096AB47" w14:textId="77777777" w:rsidR="00050A97" w:rsidRPr="00050A97" w:rsidRDefault="00171AAF" w:rsidP="00050A97">
            <w:pPr>
              <w:pStyle w:val="ListParagraph"/>
              <w:numPr>
                <w:ilvl w:val="2"/>
                <w:numId w:val="18"/>
              </w:numPr>
              <w:overflowPunct/>
              <w:autoSpaceDE/>
              <w:autoSpaceDN/>
              <w:adjustRightInd/>
              <w:ind w:left="1065" w:hanging="450"/>
              <w:textAlignment w:val="auto"/>
              <w:rPr>
                <w:szCs w:val="21"/>
              </w:rPr>
            </w:pPr>
            <w:r w:rsidRPr="00050A97">
              <w:rPr>
                <w:szCs w:val="21"/>
                <w:lang w:val="de-DE"/>
              </w:rPr>
              <w:t xml:space="preserve">FFS how neighbour cell measurement is triggered </w:t>
            </w:r>
          </w:p>
          <w:p w14:paraId="37D66968" w14:textId="77777777" w:rsidR="00050A97" w:rsidRPr="00050A97" w:rsidRDefault="00171AAF" w:rsidP="00050A97">
            <w:pPr>
              <w:pStyle w:val="ListParagraph"/>
              <w:numPr>
                <w:ilvl w:val="2"/>
                <w:numId w:val="18"/>
              </w:numPr>
              <w:overflowPunct/>
              <w:autoSpaceDE/>
              <w:autoSpaceDN/>
              <w:adjustRightInd/>
              <w:ind w:left="1065" w:hanging="450"/>
              <w:textAlignment w:val="auto"/>
              <w:rPr>
                <w:szCs w:val="21"/>
              </w:rPr>
            </w:pPr>
            <w:r w:rsidRPr="00050A97">
              <w:rPr>
                <w:szCs w:val="21"/>
                <w:lang w:val="de-DE"/>
              </w:rPr>
              <w:t xml:space="preserve">FFS how to perform neighbour cell measurements </w:t>
            </w:r>
          </w:p>
          <w:p w14:paraId="438B950D" w14:textId="06F67440" w:rsidR="00171AAF" w:rsidRPr="00050A97" w:rsidRDefault="00171AAF" w:rsidP="00050A97">
            <w:pPr>
              <w:pStyle w:val="ListParagraph"/>
              <w:numPr>
                <w:ilvl w:val="0"/>
                <w:numId w:val="18"/>
              </w:numPr>
              <w:overflowPunct/>
              <w:autoSpaceDE/>
              <w:autoSpaceDN/>
              <w:adjustRightInd/>
              <w:ind w:left="525" w:hanging="374"/>
              <w:textAlignment w:val="auto"/>
              <w:rPr>
                <w:szCs w:val="21"/>
                <w:lang w:val="de-DE"/>
              </w:rPr>
            </w:pPr>
            <w:r w:rsidRPr="00050A97">
              <w:rPr>
                <w:szCs w:val="21"/>
                <w:lang w:val="de-DE"/>
              </w:rPr>
              <w:t>Working assumption: Neighbour cell measurement results are not reported to the network in RRC_CONNECTED.</w:t>
            </w:r>
          </w:p>
          <w:p w14:paraId="5CE1E013" w14:textId="77777777" w:rsidR="00171AAF" w:rsidRPr="00050A97" w:rsidRDefault="00171AAF" w:rsidP="00050A97">
            <w:pPr>
              <w:pStyle w:val="ListParagraph"/>
              <w:numPr>
                <w:ilvl w:val="2"/>
                <w:numId w:val="18"/>
              </w:numPr>
              <w:overflowPunct/>
              <w:autoSpaceDE/>
              <w:autoSpaceDN/>
              <w:adjustRightInd/>
              <w:ind w:left="1065" w:hanging="450"/>
              <w:textAlignment w:val="auto"/>
              <w:rPr>
                <w:szCs w:val="21"/>
                <w:lang w:val="de-DE"/>
              </w:rPr>
            </w:pPr>
            <w:r w:rsidRPr="00050A97">
              <w:rPr>
                <w:szCs w:val="21"/>
                <w:lang w:val="de-DE"/>
              </w:rPr>
              <w:t>FFS whether and when other information can be sent</w:t>
            </w:r>
          </w:p>
          <w:p w14:paraId="605E1643" w14:textId="77777777" w:rsidR="00171AAF" w:rsidRDefault="00171AAF" w:rsidP="00933699">
            <w:pPr>
              <w:pStyle w:val="Doc-text2"/>
              <w:ind w:left="0" w:firstLine="0"/>
            </w:pPr>
          </w:p>
        </w:tc>
      </w:tr>
    </w:tbl>
    <w:p w14:paraId="6436FAEA" w14:textId="77777777" w:rsidR="00171AAF" w:rsidRDefault="00171AAF" w:rsidP="00171AAF">
      <w:pPr>
        <w:pStyle w:val="Doc-text2"/>
        <w:ind w:left="1619" w:firstLine="0"/>
      </w:pPr>
    </w:p>
    <w:p w14:paraId="2C44C2D8" w14:textId="77777777" w:rsidR="00171AAF" w:rsidRDefault="00171AAF" w:rsidP="00171AAF">
      <w:pPr>
        <w:pStyle w:val="Doc-text2"/>
        <w:ind w:left="1619" w:firstLine="0"/>
      </w:pPr>
    </w:p>
    <w:p w14:paraId="0FC19A5F" w14:textId="277C605D" w:rsidR="00171AAF" w:rsidRPr="00171AAF" w:rsidRDefault="00FA5AD7" w:rsidP="00171AAF">
      <w:pPr>
        <w:spacing w:line="276" w:lineRule="auto"/>
        <w:jc w:val="both"/>
        <w:rPr>
          <w:rFonts w:eastAsia="MS Mincho" w:cs="Arial"/>
          <w:lang w:val="en-US"/>
        </w:rPr>
      </w:pPr>
      <w:r>
        <w:rPr>
          <w:rFonts w:eastAsia="MS Mincho" w:cs="Arial"/>
          <w:highlight w:val="green"/>
          <w:lang w:val="en-US"/>
        </w:rPr>
        <w:t>RAN2#112-e agreements:</w:t>
      </w:r>
    </w:p>
    <w:tbl>
      <w:tblPr>
        <w:tblStyle w:val="TableGrid1"/>
        <w:tblW w:w="0" w:type="auto"/>
        <w:tblInd w:w="1259" w:type="dxa"/>
        <w:tblLook w:val="04A0" w:firstRow="1" w:lastRow="0" w:firstColumn="1" w:lastColumn="0" w:noHBand="0" w:noVBand="1"/>
      </w:tblPr>
      <w:tblGrid>
        <w:gridCol w:w="8370"/>
      </w:tblGrid>
      <w:tr w:rsidR="00171AAF" w:rsidRPr="00171AAF" w14:paraId="3996AC6D" w14:textId="77777777" w:rsidTr="00933699">
        <w:tc>
          <w:tcPr>
            <w:tcW w:w="10194" w:type="dxa"/>
          </w:tcPr>
          <w:p w14:paraId="114BE331" w14:textId="77777777" w:rsidR="00171AAF" w:rsidRPr="00171AAF" w:rsidRDefault="00171AAF" w:rsidP="00050A97">
            <w:pPr>
              <w:tabs>
                <w:tab w:val="left" w:pos="1622"/>
              </w:tabs>
              <w:overflowPunct/>
              <w:autoSpaceDE/>
              <w:autoSpaceDN/>
              <w:adjustRightInd/>
              <w:spacing w:after="0"/>
              <w:textAlignment w:val="auto"/>
              <w:rPr>
                <w:rFonts w:ascii="Arial" w:eastAsia="MS Mincho" w:hAnsi="Arial"/>
                <w:b/>
                <w:szCs w:val="24"/>
                <w:u w:val="single"/>
                <w:lang w:eastAsia="en-GB"/>
              </w:rPr>
            </w:pPr>
            <w:r w:rsidRPr="00171AAF">
              <w:rPr>
                <w:rFonts w:ascii="Arial" w:eastAsia="MS Mincho" w:hAnsi="Arial"/>
                <w:b/>
                <w:szCs w:val="24"/>
                <w:u w:val="single"/>
                <w:lang w:eastAsia="en-GB"/>
              </w:rPr>
              <w:t>Agreements:</w:t>
            </w:r>
          </w:p>
          <w:p w14:paraId="27577684" w14:textId="77777777" w:rsidR="00171AAF" w:rsidRPr="00171AAF" w:rsidRDefault="00171AAF" w:rsidP="00171AAF">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29B5692E" w14:textId="77777777" w:rsidR="00050A97" w:rsidRDefault="00171AAF" w:rsidP="00050A97">
            <w:pPr>
              <w:numPr>
                <w:ilvl w:val="0"/>
                <w:numId w:val="17"/>
              </w:numPr>
              <w:tabs>
                <w:tab w:val="left" w:pos="697"/>
              </w:tabs>
              <w:overflowPunct/>
              <w:autoSpaceDE/>
              <w:autoSpaceDN/>
              <w:adjustRightInd/>
              <w:spacing w:before="40" w:after="0"/>
              <w:ind w:hanging="1192"/>
              <w:textAlignment w:val="auto"/>
              <w:rPr>
                <w:rFonts w:ascii="Arial" w:eastAsia="MS Mincho" w:hAnsi="Arial"/>
                <w:szCs w:val="24"/>
                <w:lang w:eastAsia="en-GB"/>
              </w:rPr>
            </w:pPr>
            <w:r w:rsidRPr="00171AAF">
              <w:rPr>
                <w:rFonts w:ascii="Arial" w:eastAsia="MS Mincho" w:hAnsi="Arial"/>
                <w:szCs w:val="24"/>
                <w:lang w:eastAsia="en-GB"/>
              </w:rPr>
              <w:t>Enhancements to the random access procedure are not considered.</w:t>
            </w:r>
          </w:p>
          <w:p w14:paraId="27620F28" w14:textId="6000CA3B" w:rsidR="00171AAF" w:rsidRPr="00050A97" w:rsidRDefault="00171AAF" w:rsidP="00050A97">
            <w:pPr>
              <w:numPr>
                <w:ilvl w:val="0"/>
                <w:numId w:val="17"/>
              </w:numPr>
              <w:tabs>
                <w:tab w:val="left" w:pos="697"/>
              </w:tabs>
              <w:overflowPunct/>
              <w:autoSpaceDE/>
              <w:autoSpaceDN/>
              <w:adjustRightInd/>
              <w:spacing w:before="40" w:after="0"/>
              <w:ind w:left="697" w:hanging="270"/>
              <w:textAlignment w:val="auto"/>
              <w:rPr>
                <w:rFonts w:ascii="Arial" w:eastAsia="MS Mincho" w:hAnsi="Arial"/>
                <w:szCs w:val="24"/>
                <w:lang w:eastAsia="en-GB"/>
              </w:rPr>
            </w:pPr>
            <w:r w:rsidRPr="00050A97">
              <w:rPr>
                <w:rFonts w:ascii="Arial" w:eastAsia="MS Mincho" w:hAnsi="Arial"/>
                <w:szCs w:val="24"/>
                <w:lang w:eastAsia="en-GB"/>
              </w:rPr>
              <w:t xml:space="preserve">The solution includes reduction of the time between declaration of RLF and the start of the random access procedure (points C and </w:t>
            </w:r>
            <w:proofErr w:type="gramStart"/>
            <w:r w:rsidRPr="00050A97">
              <w:rPr>
                <w:rFonts w:ascii="Arial" w:eastAsia="MS Mincho" w:hAnsi="Arial"/>
                <w:szCs w:val="24"/>
                <w:lang w:eastAsia="en-GB"/>
              </w:rPr>
              <w:t>D)FFS</w:t>
            </w:r>
            <w:proofErr w:type="gramEnd"/>
            <w:r w:rsidRPr="00050A97">
              <w:rPr>
                <w:rFonts w:ascii="Arial" w:eastAsia="MS Mincho" w:hAnsi="Arial"/>
                <w:szCs w:val="24"/>
                <w:lang w:eastAsia="en-GB"/>
              </w:rPr>
              <w:t xml:space="preserve"> whether the solution includes reduction of the time between out-of-sync detection and declaration of RLF (points B and C)</w:t>
            </w:r>
          </w:p>
          <w:p w14:paraId="77EC26BA" w14:textId="77777777" w:rsidR="00171AAF" w:rsidRPr="00171AAF" w:rsidRDefault="00171AAF" w:rsidP="00171AAF">
            <w:pPr>
              <w:tabs>
                <w:tab w:val="left" w:pos="1622"/>
              </w:tabs>
              <w:overflowPunct/>
              <w:autoSpaceDE/>
              <w:autoSpaceDN/>
              <w:adjustRightInd/>
              <w:spacing w:after="0"/>
              <w:ind w:left="1622" w:hanging="363"/>
              <w:textAlignment w:val="auto"/>
              <w:rPr>
                <w:rFonts w:ascii="Arial" w:eastAsia="MS Mincho" w:hAnsi="Arial"/>
                <w:szCs w:val="24"/>
                <w:lang w:eastAsia="en-GB"/>
              </w:rPr>
            </w:pPr>
          </w:p>
        </w:tc>
      </w:tr>
    </w:tbl>
    <w:p w14:paraId="0ECDD6FB" w14:textId="77777777" w:rsidR="00171AAF" w:rsidRPr="00171AAF" w:rsidRDefault="00171AAF" w:rsidP="00FA5AD7">
      <w:pPr>
        <w:spacing w:line="276" w:lineRule="auto"/>
        <w:jc w:val="both"/>
        <w:rPr>
          <w:rFonts w:eastAsia="MS Mincho" w:cs="Arial"/>
        </w:rPr>
      </w:pPr>
    </w:p>
    <w:p w14:paraId="1E7A8EE1" w14:textId="7077EC7B" w:rsidR="00664489" w:rsidRPr="00171AAF" w:rsidRDefault="00664489" w:rsidP="00664489">
      <w:pPr>
        <w:rPr>
          <w:rFonts w:eastAsia="MS Mincho"/>
          <w:lang w:val="en-US"/>
        </w:rPr>
      </w:pPr>
      <w:r>
        <w:rPr>
          <w:rFonts w:eastAsia="MS Mincho"/>
          <w:highlight w:val="green"/>
          <w:lang w:val="en-US"/>
        </w:rPr>
        <w:t>RAN2#113-e agreements:</w:t>
      </w:r>
    </w:p>
    <w:tbl>
      <w:tblPr>
        <w:tblStyle w:val="TableGrid"/>
        <w:tblW w:w="0" w:type="auto"/>
        <w:tblInd w:w="1255" w:type="dxa"/>
        <w:tblLook w:val="04A0" w:firstRow="1" w:lastRow="0" w:firstColumn="1" w:lastColumn="0" w:noHBand="0" w:noVBand="1"/>
      </w:tblPr>
      <w:tblGrid>
        <w:gridCol w:w="8374"/>
      </w:tblGrid>
      <w:tr w:rsidR="00664489" w14:paraId="31104F52" w14:textId="77777777" w:rsidTr="00171AAF">
        <w:tc>
          <w:tcPr>
            <w:tcW w:w="8374" w:type="dxa"/>
            <w:tcBorders>
              <w:top w:val="single" w:sz="4" w:space="0" w:color="auto"/>
              <w:left w:val="single" w:sz="4" w:space="0" w:color="auto"/>
              <w:bottom w:val="single" w:sz="4" w:space="0" w:color="auto"/>
              <w:right w:val="single" w:sz="4" w:space="0" w:color="auto"/>
            </w:tcBorders>
          </w:tcPr>
          <w:p w14:paraId="54704D26" w14:textId="65650B31" w:rsidR="00664489" w:rsidRDefault="00664489">
            <w:pPr>
              <w:pStyle w:val="EmailDiscussion2"/>
              <w:ind w:left="0" w:firstLine="0"/>
            </w:pPr>
            <w:r>
              <w:t>Agreements:</w:t>
            </w:r>
          </w:p>
          <w:p w14:paraId="734C7A87" w14:textId="77777777" w:rsidR="00664489" w:rsidRPr="00171AAF" w:rsidRDefault="00664489" w:rsidP="009108CA">
            <w:pPr>
              <w:pStyle w:val="ListParagraph"/>
              <w:numPr>
                <w:ilvl w:val="0"/>
                <w:numId w:val="15"/>
              </w:numPr>
              <w:overflowPunct/>
              <w:autoSpaceDE/>
              <w:autoSpaceDN/>
              <w:adjustRightInd/>
              <w:textAlignment w:val="auto"/>
              <w:rPr>
                <w:rStyle w:val="Hyperlink"/>
                <w:rFonts w:ascii="Arial" w:hAnsi="Arial" w:cs="Arial"/>
                <w:color w:val="auto"/>
                <w:sz w:val="20"/>
                <w:u w:val="none"/>
              </w:rPr>
            </w:pPr>
            <w:r w:rsidRPr="00171AAF">
              <w:rPr>
                <w:rStyle w:val="Hyperlink"/>
                <w:rFonts w:ascii="Arial" w:hAnsi="Arial" w:cs="Arial"/>
                <w:color w:val="auto"/>
                <w:sz w:val="20"/>
                <w:u w:val="none"/>
              </w:rPr>
              <w:lastRenderedPageBreak/>
              <w:t>Neighbour cells measurement (detection and measurements) are performed only on the anchor carrier.</w:t>
            </w:r>
          </w:p>
          <w:p w14:paraId="63CFAC42" w14:textId="62ADEB31" w:rsidR="00664489" w:rsidRDefault="00664489" w:rsidP="009108CA">
            <w:pPr>
              <w:pStyle w:val="ListParagraph"/>
              <w:numPr>
                <w:ilvl w:val="0"/>
                <w:numId w:val="15"/>
              </w:numPr>
              <w:overflowPunct/>
              <w:autoSpaceDE/>
              <w:autoSpaceDN/>
              <w:adjustRightInd/>
              <w:textAlignment w:val="auto"/>
            </w:pPr>
            <w:r w:rsidRPr="00171AAF">
              <w:rPr>
                <w:rStyle w:val="Hyperlink"/>
                <w:rFonts w:ascii="Arial" w:hAnsi="Arial" w:cs="Arial"/>
                <w:color w:val="auto"/>
                <w:sz w:val="20"/>
                <w:u w:val="none"/>
              </w:rPr>
              <w:t>The solution is optional</w:t>
            </w:r>
          </w:p>
        </w:tc>
      </w:tr>
    </w:tbl>
    <w:p w14:paraId="2BEB84FB" w14:textId="77777777" w:rsidR="00381C29" w:rsidRDefault="00381C29" w:rsidP="00381C29">
      <w:pPr>
        <w:spacing w:after="0"/>
        <w:rPr>
          <w:b/>
          <w:bCs/>
          <w:u w:val="single"/>
          <w:lang w:eastAsia="en-GB"/>
        </w:rPr>
      </w:pPr>
    </w:p>
    <w:p w14:paraId="233CB751" w14:textId="77777777" w:rsidR="00171AAF" w:rsidRDefault="00171AAF" w:rsidP="009A41FC">
      <w:pPr>
        <w:spacing w:line="276" w:lineRule="auto"/>
        <w:jc w:val="both"/>
        <w:rPr>
          <w:rFonts w:eastAsia="MS Mincho" w:cs="Arial"/>
          <w:highlight w:val="green"/>
          <w:lang w:val="en-US"/>
        </w:rPr>
      </w:pPr>
    </w:p>
    <w:p w14:paraId="231A43E4" w14:textId="54783958" w:rsidR="009A41FC" w:rsidRPr="009A41FC" w:rsidRDefault="009A41FC" w:rsidP="009A41FC">
      <w:pPr>
        <w:spacing w:line="276" w:lineRule="auto"/>
        <w:jc w:val="both"/>
        <w:rPr>
          <w:rFonts w:eastAsia="MS Mincho" w:cs="Arial"/>
          <w:lang w:val="en-US"/>
        </w:rPr>
      </w:pPr>
      <w:r w:rsidRPr="009A41FC">
        <w:rPr>
          <w:rFonts w:eastAsia="MS Mincho" w:cs="Arial"/>
          <w:highlight w:val="green"/>
          <w:lang w:val="en-US"/>
        </w:rPr>
        <w:t>RAN2#11</w:t>
      </w:r>
      <w:r>
        <w:rPr>
          <w:rFonts w:eastAsia="MS Mincho" w:cs="Arial"/>
          <w:highlight w:val="green"/>
          <w:lang w:val="en-US"/>
        </w:rPr>
        <w:t>4</w:t>
      </w:r>
      <w:r w:rsidRPr="009A41FC">
        <w:rPr>
          <w:rFonts w:eastAsia="MS Mincho" w:cs="Arial"/>
          <w:highlight w:val="green"/>
          <w:lang w:val="en-US"/>
        </w:rPr>
        <w:t>-e agreements:</w:t>
      </w:r>
    </w:p>
    <w:tbl>
      <w:tblPr>
        <w:tblW w:w="9217"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7"/>
      </w:tblGrid>
      <w:tr w:rsidR="009A41FC" w14:paraId="1940D72C" w14:textId="77777777" w:rsidTr="00171AAF">
        <w:trPr>
          <w:trHeight w:val="1000"/>
        </w:trPr>
        <w:tc>
          <w:tcPr>
            <w:tcW w:w="9217" w:type="dxa"/>
          </w:tcPr>
          <w:p w14:paraId="41AB4FFB" w14:textId="77777777" w:rsidR="009A41FC" w:rsidRDefault="009A41FC" w:rsidP="00D96477">
            <w:pPr>
              <w:pStyle w:val="Doc-text2"/>
              <w:ind w:hanging="1547"/>
            </w:pPr>
            <w:r>
              <w:t>Agreements</w:t>
            </w:r>
          </w:p>
          <w:p w14:paraId="4C92AC38" w14:textId="77777777" w:rsidR="00D96477" w:rsidRDefault="009A41FC" w:rsidP="00D96477">
            <w:pPr>
              <w:pStyle w:val="Doc-text2"/>
              <w:numPr>
                <w:ilvl w:val="0"/>
                <w:numId w:val="16"/>
              </w:numPr>
              <w:tabs>
                <w:tab w:val="clear" w:pos="1622"/>
                <w:tab w:val="left" w:pos="615"/>
              </w:tabs>
              <w:overflowPunct/>
              <w:autoSpaceDE/>
              <w:autoSpaceDN/>
              <w:adjustRightInd/>
              <w:ind w:left="615" w:hanging="450"/>
              <w:textAlignment w:val="auto"/>
            </w:pPr>
            <w:r>
              <w:t>The criteria to start measurements is based on a combination of serving cell quality threshold (option b) and variance of the serving cell quality (option c)</w:t>
            </w:r>
          </w:p>
          <w:p w14:paraId="70B93E30" w14:textId="53ADC606" w:rsidR="009A41FC" w:rsidRDefault="009A41FC" w:rsidP="00D96477">
            <w:pPr>
              <w:pStyle w:val="Doc-text2"/>
              <w:numPr>
                <w:ilvl w:val="0"/>
                <w:numId w:val="16"/>
              </w:numPr>
              <w:tabs>
                <w:tab w:val="clear" w:pos="1622"/>
                <w:tab w:val="left" w:pos="615"/>
              </w:tabs>
              <w:overflowPunct/>
              <w:autoSpaceDE/>
              <w:autoSpaceDN/>
              <w:adjustRightInd/>
              <w:ind w:left="615" w:hanging="450"/>
              <w:textAlignment w:val="auto"/>
            </w:pPr>
            <w:r>
              <w:t xml:space="preserve">Configuration of the criteria to start the measurements is supported. </w:t>
            </w:r>
          </w:p>
          <w:p w14:paraId="0D93BE50" w14:textId="77777777" w:rsidR="009A41FC" w:rsidRDefault="009A41FC" w:rsidP="00D96477">
            <w:pPr>
              <w:pStyle w:val="Doc-text2"/>
              <w:numPr>
                <w:ilvl w:val="1"/>
                <w:numId w:val="16"/>
              </w:numPr>
              <w:overflowPunct/>
              <w:autoSpaceDE/>
              <w:autoSpaceDN/>
              <w:adjustRightInd/>
              <w:ind w:left="1245" w:hanging="644"/>
              <w:textAlignment w:val="auto"/>
            </w:pPr>
            <w:r>
              <w:t>FFS whether any further information needs to be provided by NW</w:t>
            </w:r>
          </w:p>
          <w:p w14:paraId="77F8B4BD" w14:textId="77777777" w:rsidR="009A41FC" w:rsidRDefault="009A41FC" w:rsidP="00D96477">
            <w:pPr>
              <w:pStyle w:val="Doc-text2"/>
              <w:numPr>
                <w:ilvl w:val="0"/>
                <w:numId w:val="16"/>
              </w:numPr>
              <w:tabs>
                <w:tab w:val="clear" w:pos="1622"/>
                <w:tab w:val="left" w:pos="615"/>
              </w:tabs>
              <w:overflowPunct/>
              <w:autoSpaceDE/>
              <w:autoSpaceDN/>
              <w:adjustRightInd/>
              <w:ind w:left="615" w:hanging="450"/>
              <w:textAlignment w:val="auto"/>
            </w:pPr>
            <w:r>
              <w:t xml:space="preserve">FFS whether any assistance information from UE is needed. </w:t>
            </w:r>
          </w:p>
          <w:p w14:paraId="1B3AA0E9" w14:textId="77777777" w:rsidR="009A41FC" w:rsidRPr="00D96477" w:rsidRDefault="009A41FC" w:rsidP="00D96477">
            <w:pPr>
              <w:pStyle w:val="Doc-text2"/>
              <w:numPr>
                <w:ilvl w:val="0"/>
                <w:numId w:val="16"/>
              </w:numPr>
              <w:tabs>
                <w:tab w:val="clear" w:pos="1622"/>
                <w:tab w:val="left" w:pos="615"/>
              </w:tabs>
              <w:overflowPunct/>
              <w:autoSpaceDE/>
              <w:autoSpaceDN/>
              <w:adjustRightInd/>
              <w:ind w:left="615" w:hanging="450"/>
              <w:textAlignment w:val="auto"/>
            </w:pPr>
            <w:r w:rsidRPr="00D96477">
              <w:t>FFS if/how to support ‘early’ RLF.</w:t>
            </w:r>
          </w:p>
          <w:p w14:paraId="333BD400" w14:textId="77777777" w:rsidR="009A41FC" w:rsidRDefault="009A41FC" w:rsidP="00933699">
            <w:pPr>
              <w:pStyle w:val="Doc-text2"/>
              <w:ind w:left="1684"/>
            </w:pPr>
          </w:p>
        </w:tc>
      </w:tr>
    </w:tbl>
    <w:p w14:paraId="7057AD28" w14:textId="62C58F0D" w:rsidR="009A41FC" w:rsidRDefault="009A41FC" w:rsidP="00CE0424">
      <w:pPr>
        <w:pStyle w:val="BodyText"/>
      </w:pPr>
    </w:p>
    <w:p w14:paraId="3BD97935" w14:textId="0E6D73F3" w:rsidR="00560282" w:rsidRPr="009A41FC" w:rsidRDefault="00560282" w:rsidP="00560282">
      <w:pPr>
        <w:spacing w:line="276" w:lineRule="auto"/>
        <w:jc w:val="both"/>
        <w:rPr>
          <w:rFonts w:eastAsia="MS Mincho" w:cs="Arial"/>
          <w:lang w:val="en-US"/>
        </w:rPr>
      </w:pPr>
      <w:r w:rsidRPr="009A41FC">
        <w:rPr>
          <w:rFonts w:eastAsia="MS Mincho" w:cs="Arial"/>
          <w:highlight w:val="green"/>
          <w:lang w:val="en-US"/>
        </w:rPr>
        <w:t>RAN2#11</w:t>
      </w:r>
      <w:r>
        <w:rPr>
          <w:rFonts w:eastAsia="MS Mincho" w:cs="Arial"/>
          <w:highlight w:val="green"/>
          <w:lang w:val="en-US"/>
        </w:rPr>
        <w:t>5</w:t>
      </w:r>
      <w:r w:rsidRPr="009A41FC">
        <w:rPr>
          <w:rFonts w:eastAsia="MS Mincho" w:cs="Arial"/>
          <w:highlight w:val="green"/>
          <w:lang w:val="en-US"/>
        </w:rPr>
        <w:t>-e agreements:</w:t>
      </w:r>
    </w:p>
    <w:tbl>
      <w:tblPr>
        <w:tblW w:w="9217"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7"/>
      </w:tblGrid>
      <w:tr w:rsidR="00560282" w14:paraId="7C81CFFC" w14:textId="77777777" w:rsidTr="00570AF5">
        <w:trPr>
          <w:trHeight w:val="1000"/>
        </w:trPr>
        <w:tc>
          <w:tcPr>
            <w:tcW w:w="9217" w:type="dxa"/>
          </w:tcPr>
          <w:p w14:paraId="44E1BA9D" w14:textId="77777777" w:rsidR="00050A97" w:rsidRDefault="00050A97" w:rsidP="00050A97">
            <w:pPr>
              <w:pStyle w:val="Doc-text2"/>
              <w:ind w:left="0" w:firstLine="0"/>
            </w:pPr>
            <w:r>
              <w:rPr>
                <w:rFonts w:hint="eastAsia"/>
              </w:rPr>
              <w:t>A</w:t>
            </w:r>
            <w:r>
              <w:t>greements:</w:t>
            </w:r>
          </w:p>
          <w:p w14:paraId="1867C3F0" w14:textId="77777777" w:rsidR="00050A97" w:rsidRDefault="00050A97" w:rsidP="00050A97">
            <w:pPr>
              <w:pStyle w:val="Doc-text2"/>
              <w:numPr>
                <w:ilvl w:val="0"/>
                <w:numId w:val="26"/>
              </w:numPr>
              <w:overflowPunct/>
              <w:autoSpaceDE/>
              <w:autoSpaceDN/>
              <w:adjustRightInd/>
              <w:textAlignment w:val="auto"/>
            </w:pPr>
            <w:r>
              <w:t xml:space="preserve">The configuration of the criteria for starting the measurements include a serving cell NRSRP </w:t>
            </w:r>
            <w:r w:rsidRPr="005D774E">
              <w:t>threshold. FSS how to address variance (as agreed last meeting)</w:t>
            </w:r>
          </w:p>
          <w:p w14:paraId="315530F8" w14:textId="5FD491B2" w:rsidR="00560282" w:rsidRDefault="00050A97" w:rsidP="00050A97">
            <w:pPr>
              <w:pStyle w:val="Doc-text2"/>
              <w:numPr>
                <w:ilvl w:val="0"/>
                <w:numId w:val="26"/>
              </w:numPr>
              <w:overflowPunct/>
              <w:autoSpaceDE/>
              <w:autoSpaceDN/>
              <w:adjustRightInd/>
              <w:textAlignment w:val="auto"/>
            </w:pPr>
            <w:r>
              <w:t xml:space="preserve">It is useful to have a shorter T310 timer for UEs supporting this enhancement, but FFS whether this is best achieved with the existing dedicated signalling or </w:t>
            </w:r>
            <w:r w:rsidRPr="00783166">
              <w:t>based on a new condition</w:t>
            </w:r>
          </w:p>
          <w:p w14:paraId="0233B295" w14:textId="77777777" w:rsidR="00050A97" w:rsidRDefault="00050A97" w:rsidP="00050A97">
            <w:pPr>
              <w:pStyle w:val="Doc-text2"/>
              <w:ind w:left="0" w:firstLine="0"/>
            </w:pPr>
          </w:p>
          <w:p w14:paraId="1456ABFD" w14:textId="77777777" w:rsidR="00050A97" w:rsidRDefault="00050A97" w:rsidP="00050A97">
            <w:pPr>
              <w:pStyle w:val="Doc-text2"/>
              <w:numPr>
                <w:ilvl w:val="0"/>
                <w:numId w:val="26"/>
              </w:numPr>
              <w:overflowPunct/>
              <w:autoSpaceDE/>
              <w:autoSpaceDN/>
              <w:adjustRightInd/>
              <w:textAlignment w:val="auto"/>
            </w:pPr>
            <w:r>
              <w:t>Prioritisation of carriers/cells to measure is left to the UE implementation.</w:t>
            </w:r>
          </w:p>
          <w:p w14:paraId="5C10C2AE" w14:textId="77777777" w:rsidR="00050A97" w:rsidRPr="005D774E" w:rsidRDefault="00050A97" w:rsidP="00050A97">
            <w:pPr>
              <w:pStyle w:val="Doc-text2"/>
              <w:numPr>
                <w:ilvl w:val="0"/>
                <w:numId w:val="26"/>
              </w:numPr>
              <w:overflowPunct/>
              <w:autoSpaceDE/>
              <w:autoSpaceDN/>
              <w:adjustRightInd/>
              <w:textAlignment w:val="auto"/>
            </w:pPr>
            <w:r w:rsidRPr="005D774E">
              <w:t>FFS:  whether to provide a separate criteria for inter-frequency measurements (i.e. needing re-tuning) considering that they will take longer and should start earlier.</w:t>
            </w:r>
          </w:p>
          <w:p w14:paraId="0A097FC8" w14:textId="77777777" w:rsidR="00050A97" w:rsidRDefault="00050A97" w:rsidP="00050A97">
            <w:pPr>
              <w:pStyle w:val="Doc-text2"/>
              <w:numPr>
                <w:ilvl w:val="0"/>
                <w:numId w:val="26"/>
              </w:numPr>
              <w:overflowPunct/>
              <w:autoSpaceDE/>
              <w:autoSpaceDN/>
              <w:adjustRightInd/>
              <w:textAlignment w:val="auto"/>
            </w:pPr>
            <w:r>
              <w:t>Legacy relaxed monitoring criteria is reused to address the variance part of the criteria to start the measurements.</w:t>
            </w:r>
          </w:p>
          <w:p w14:paraId="2977C4B8" w14:textId="77777777" w:rsidR="00050A97" w:rsidRDefault="00050A97" w:rsidP="00050A97">
            <w:pPr>
              <w:pStyle w:val="Doc-text2"/>
              <w:numPr>
                <w:ilvl w:val="1"/>
                <w:numId w:val="26"/>
              </w:numPr>
              <w:overflowPunct/>
              <w:autoSpaceDE/>
              <w:autoSpaceDN/>
              <w:adjustRightInd/>
              <w:textAlignment w:val="auto"/>
            </w:pPr>
            <w:r w:rsidRPr="0049133F">
              <w:t>FFS:</w:t>
            </w:r>
            <w:r>
              <w:t xml:space="preserve"> Whether it is enabled by the provision of separate SSearchDeltaP and TSearchDeltaP parameters from RRC_IDLE.</w:t>
            </w:r>
          </w:p>
          <w:p w14:paraId="72C28EFF" w14:textId="77777777" w:rsidR="00050A97" w:rsidRDefault="00050A97" w:rsidP="00050A97">
            <w:pPr>
              <w:pStyle w:val="Doc-text2"/>
              <w:numPr>
                <w:ilvl w:val="0"/>
                <w:numId w:val="26"/>
              </w:numPr>
              <w:overflowPunct/>
              <w:autoSpaceDE/>
              <w:autoSpaceDN/>
              <w:adjustRightInd/>
              <w:textAlignment w:val="auto"/>
            </w:pPr>
            <w:r w:rsidRPr="0036026A">
              <w:t>The conditions where the UE is required to perform measurements are specified.  No requirement on when to stop measurements is needed.</w:t>
            </w:r>
          </w:p>
          <w:p w14:paraId="2CF4C9C5" w14:textId="77777777" w:rsidR="00050A97" w:rsidRPr="0049133F" w:rsidRDefault="00050A97" w:rsidP="00050A97">
            <w:pPr>
              <w:pStyle w:val="Doc-text2"/>
              <w:numPr>
                <w:ilvl w:val="0"/>
                <w:numId w:val="26"/>
              </w:numPr>
              <w:overflowPunct/>
              <w:autoSpaceDE/>
              <w:autoSpaceDN/>
              <w:adjustRightInd/>
              <w:textAlignment w:val="auto"/>
            </w:pPr>
            <w:r w:rsidRPr="0049133F">
              <w:t>The configuration of the criteria for starting the measurements is provided via broadcast signalling.</w:t>
            </w:r>
          </w:p>
          <w:p w14:paraId="45ED4B3B" w14:textId="77777777" w:rsidR="00050A97" w:rsidRDefault="00050A97" w:rsidP="00050A97">
            <w:pPr>
              <w:pStyle w:val="Doc-text2"/>
              <w:numPr>
                <w:ilvl w:val="0"/>
                <w:numId w:val="26"/>
              </w:numPr>
              <w:overflowPunct/>
              <w:autoSpaceDE/>
              <w:autoSpaceDN/>
              <w:adjustRightInd/>
              <w:textAlignment w:val="auto"/>
            </w:pPr>
            <w:r>
              <w:t>Provision of information regarding which cells/carriers to be considered is not supported. It is up to UE implementation to choose and prioritize carrier/cell list for measurement.</w:t>
            </w:r>
          </w:p>
          <w:p w14:paraId="3B6BE6E8" w14:textId="77777777" w:rsidR="00050A97" w:rsidRDefault="00050A97" w:rsidP="00050A97">
            <w:pPr>
              <w:pStyle w:val="Doc-text2"/>
              <w:numPr>
                <w:ilvl w:val="0"/>
                <w:numId w:val="26"/>
              </w:numPr>
              <w:overflowPunct/>
              <w:autoSpaceDE/>
              <w:autoSpaceDN/>
              <w:adjustRightInd/>
              <w:textAlignment w:val="auto"/>
            </w:pPr>
            <w:r>
              <w:t>Report of the cells measured in RRC_IDLE to assist measurement configuration is not supported.</w:t>
            </w:r>
          </w:p>
          <w:p w14:paraId="35862F45" w14:textId="77777777" w:rsidR="00050A97" w:rsidRDefault="00050A97" w:rsidP="00050A97">
            <w:pPr>
              <w:pStyle w:val="Doc-text2"/>
              <w:numPr>
                <w:ilvl w:val="0"/>
                <w:numId w:val="26"/>
              </w:numPr>
              <w:overflowPunct/>
              <w:autoSpaceDE/>
              <w:autoSpaceDN/>
              <w:adjustRightInd/>
              <w:textAlignment w:val="auto"/>
            </w:pPr>
            <w:r>
              <w:t>Report of information about connected measurements during the RRC Connection re-establishment procedure for network optimisation is not supported.</w:t>
            </w:r>
          </w:p>
          <w:p w14:paraId="77D02D80" w14:textId="77777777" w:rsidR="00050A97" w:rsidRDefault="00050A97" w:rsidP="00050A97">
            <w:pPr>
              <w:pStyle w:val="Doc-text2"/>
              <w:numPr>
                <w:ilvl w:val="0"/>
                <w:numId w:val="26"/>
              </w:numPr>
              <w:overflowPunct/>
              <w:autoSpaceDE/>
              <w:autoSpaceDN/>
              <w:adjustRightInd/>
              <w:textAlignment w:val="auto"/>
            </w:pPr>
            <w:r>
              <w:t>There is no need to specify which subframes can be used for measurements beyond them not being needed for PDCCH monitoring or data transmission / reception.</w:t>
            </w:r>
          </w:p>
          <w:p w14:paraId="086E73A0" w14:textId="77777777" w:rsidR="00050A97" w:rsidRDefault="00050A97" w:rsidP="00050A97">
            <w:pPr>
              <w:pStyle w:val="Doc-text2"/>
              <w:numPr>
                <w:ilvl w:val="0"/>
                <w:numId w:val="26"/>
              </w:numPr>
              <w:overflowPunct/>
              <w:autoSpaceDE/>
              <w:autoSpaceDN/>
              <w:adjustRightInd/>
              <w:textAlignment w:val="auto"/>
            </w:pPr>
            <w:r>
              <w:t>Support for connected mode measurement is optional with capability signalling.</w:t>
            </w:r>
          </w:p>
          <w:p w14:paraId="78E64CC0" w14:textId="105678CD" w:rsidR="00050A97" w:rsidRDefault="00050A97" w:rsidP="00050A97">
            <w:pPr>
              <w:pStyle w:val="Doc-text2"/>
              <w:numPr>
                <w:ilvl w:val="0"/>
                <w:numId w:val="26"/>
              </w:numPr>
              <w:overflowPunct/>
              <w:autoSpaceDE/>
              <w:autoSpaceDN/>
              <w:adjustRightInd/>
              <w:textAlignment w:val="auto"/>
            </w:pPr>
            <w:r w:rsidRPr="003003EA">
              <w:t>FFS: Whether</w:t>
            </w:r>
            <w:r>
              <w:t xml:space="preserve"> to support an indication from the UE that it starts/ stops performing measurement.</w:t>
            </w:r>
          </w:p>
          <w:p w14:paraId="05A74153" w14:textId="16395A98" w:rsidR="00050A97" w:rsidRDefault="00050A97" w:rsidP="00050A97">
            <w:pPr>
              <w:pStyle w:val="Doc-text2"/>
              <w:overflowPunct/>
              <w:autoSpaceDE/>
              <w:autoSpaceDN/>
              <w:adjustRightInd/>
              <w:ind w:left="0" w:firstLine="0"/>
              <w:textAlignment w:val="auto"/>
            </w:pPr>
          </w:p>
        </w:tc>
      </w:tr>
    </w:tbl>
    <w:p w14:paraId="4264DADF" w14:textId="77777777" w:rsidR="009A41FC" w:rsidRDefault="009A41FC" w:rsidP="00CE0424">
      <w:pPr>
        <w:pStyle w:val="BodyText"/>
      </w:pPr>
    </w:p>
    <w:p w14:paraId="05594B2F" w14:textId="3B7158C7" w:rsidR="00381C29" w:rsidRPr="00CE0424" w:rsidRDefault="00381C29" w:rsidP="00CE0424">
      <w:pPr>
        <w:pStyle w:val="BodyText"/>
      </w:pPr>
      <w:r w:rsidRPr="007355D2">
        <w:t>In this paper</w:t>
      </w:r>
      <w:r w:rsidR="00EA2379" w:rsidRPr="007355D2">
        <w:t xml:space="preserve">, </w:t>
      </w:r>
      <w:r w:rsidR="007355D2">
        <w:t>we will focus on the remaining RAN2 issues and provide our proposals based on the analysis.</w:t>
      </w:r>
    </w:p>
    <w:p w14:paraId="4DA5EDD1" w14:textId="480EDAA1" w:rsidR="004000E8" w:rsidRDefault="004000E8" w:rsidP="009108CA">
      <w:pPr>
        <w:pStyle w:val="Heading1"/>
        <w:numPr>
          <w:ilvl w:val="0"/>
          <w:numId w:val="19"/>
        </w:numPr>
        <w:ind w:hanging="810"/>
      </w:pPr>
      <w:bookmarkStart w:id="2" w:name="_Ref178064866"/>
      <w:r w:rsidRPr="00CE0424">
        <w:t>Discussion</w:t>
      </w:r>
      <w:bookmarkEnd w:id="2"/>
    </w:p>
    <w:p w14:paraId="04231361" w14:textId="392DB3A9" w:rsidR="00EC58FF" w:rsidRPr="008E3F3E" w:rsidRDefault="001E6FC6" w:rsidP="00EC0853">
      <w:pPr>
        <w:pStyle w:val="Heading2"/>
        <w:numPr>
          <w:ilvl w:val="1"/>
          <w:numId w:val="20"/>
        </w:numPr>
        <w:ind w:hanging="792"/>
        <w:rPr>
          <w:rFonts w:eastAsia="Times New Roman"/>
          <w:lang w:val="en-US"/>
        </w:rPr>
      </w:pPr>
      <w:r>
        <w:rPr>
          <w:rFonts w:eastAsia="Times New Roman"/>
          <w:lang w:val="en-US"/>
        </w:rPr>
        <w:t xml:space="preserve">Triggering conditions to start </w:t>
      </w:r>
      <w:r w:rsidRPr="0094513B">
        <w:rPr>
          <w:rFonts w:eastAsia="Times New Roman"/>
          <w:lang w:val="en-US"/>
        </w:rPr>
        <w:t xml:space="preserve">measurement </w:t>
      </w:r>
    </w:p>
    <w:p w14:paraId="5C9AB591" w14:textId="34C3FAF5" w:rsidR="002944ED" w:rsidRDefault="005F788C" w:rsidP="002944ED">
      <w:r>
        <w:t>In RAN2#11</w:t>
      </w:r>
      <w:r w:rsidR="002944ED">
        <w:t>5</w:t>
      </w:r>
      <w:r>
        <w:t xml:space="preserve">-e, the criteria to start the measurement </w:t>
      </w:r>
      <w:r w:rsidR="002944ED">
        <w:t xml:space="preserve">based on a serving cell NRSRP threshold </w:t>
      </w:r>
      <w:r w:rsidR="00882983">
        <w:t>was</w:t>
      </w:r>
      <w:r w:rsidR="002944ED">
        <w:t xml:space="preserve"> agreed, and it was agreed that the configuration of the criteria for starting the measurements is </w:t>
      </w:r>
      <w:r w:rsidR="002944ED" w:rsidRPr="002944ED">
        <w:t>provided via broadcast signalling</w:t>
      </w:r>
      <w:r w:rsidR="002944ED">
        <w:t xml:space="preserve">. But it remains an FFS whether to provide a separate criterion for inter-frequency measurements. </w:t>
      </w:r>
    </w:p>
    <w:p w14:paraId="2DEEDA8C" w14:textId="2F5FF26F" w:rsidR="005522F3" w:rsidRPr="005522F3" w:rsidRDefault="005522F3" w:rsidP="002944ED">
      <w:pPr>
        <w:rPr>
          <w:lang w:val="en-US"/>
        </w:rPr>
      </w:pPr>
      <w:r>
        <w:rPr>
          <w:lang w:val="en-US"/>
        </w:rPr>
        <w:lastRenderedPageBreak/>
        <w:t xml:space="preserve">Configuration of the criteria to start/stop the measurement can be configured by broadcast signaling in </w:t>
      </w:r>
      <w:r w:rsidRPr="007C638C">
        <w:rPr>
          <w:i/>
          <w:iCs/>
          <w:lang w:val="en-US"/>
        </w:rPr>
        <w:t>SIB3-NB</w:t>
      </w:r>
      <w:r>
        <w:rPr>
          <w:lang w:val="en-US"/>
        </w:rPr>
        <w:t xml:space="preserve">. Similar with cell reselection criteria in RRC_IDLE mode, serving cell quality threshold for intra and inter frequency neighbor cell measurement can be configured separately. </w:t>
      </w:r>
      <w:r w:rsidR="001A1C4B">
        <w:rPr>
          <w:lang w:val="en-US"/>
        </w:rPr>
        <w:t xml:space="preserve">Therefore, UE has the possibility to </w:t>
      </w:r>
      <w:r w:rsidR="00FF10DD">
        <w:rPr>
          <w:lang w:val="en-US"/>
        </w:rPr>
        <w:t>start inter</w:t>
      </w:r>
      <w:r w:rsidR="00882983">
        <w:rPr>
          <w:lang w:val="en-US"/>
        </w:rPr>
        <w:t>-</w:t>
      </w:r>
      <w:r w:rsidR="00FF10DD">
        <w:rPr>
          <w:lang w:val="en-US"/>
        </w:rPr>
        <w:t>frequency neighbor cell measurement when serving cell quality is really bad, which is good from UE power consumption point of view without interruption on data scheduling.</w:t>
      </w:r>
    </w:p>
    <w:p w14:paraId="36D1C9EC" w14:textId="69DA2F24" w:rsidR="00FF10DD" w:rsidRPr="00280FF1" w:rsidRDefault="005522F3" w:rsidP="00280FF1">
      <w:pPr>
        <w:pStyle w:val="Caption"/>
        <w:ind w:left="1728" w:hanging="1728"/>
        <w:rPr>
          <w:rFonts w:ascii="Arial" w:hAnsi="Arial" w:cs="Arial"/>
        </w:rPr>
      </w:pPr>
      <w:bookmarkStart w:id="3" w:name="_Ref77150257"/>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2D1CA3">
        <w:rPr>
          <w:rFonts w:ascii="Arial" w:hAnsi="Arial" w:cs="Arial"/>
          <w:noProof/>
        </w:rPr>
        <w:t>1</w:t>
      </w:r>
      <w:r w:rsidRPr="00D26B3C">
        <w:rPr>
          <w:rFonts w:ascii="Arial" w:hAnsi="Arial" w:cs="Arial"/>
        </w:rPr>
        <w:fldChar w:fldCharType="end"/>
      </w:r>
      <w:r w:rsidRPr="00FB5AB8">
        <w:rPr>
          <w:rFonts w:ascii="Arial" w:hAnsi="Arial" w:cs="Arial"/>
        </w:rPr>
        <w:tab/>
      </w:r>
      <w:r>
        <w:rPr>
          <w:rFonts w:ascii="Arial" w:hAnsi="Arial" w:cs="Arial"/>
        </w:rPr>
        <w:t xml:space="preserve">Serving cell quality threshold to start intra and inter frequency measurement </w:t>
      </w:r>
      <w:r w:rsidR="00FF10DD">
        <w:rPr>
          <w:rFonts w:ascii="Arial" w:hAnsi="Arial" w:cs="Arial"/>
        </w:rPr>
        <w:t>should</w:t>
      </w:r>
      <w:r>
        <w:rPr>
          <w:rFonts w:ascii="Arial" w:hAnsi="Arial" w:cs="Arial"/>
        </w:rPr>
        <w:t xml:space="preserve"> be configurated separately.</w:t>
      </w:r>
      <w:bookmarkEnd w:id="3"/>
    </w:p>
    <w:p w14:paraId="0DE99EEF" w14:textId="77777777" w:rsidR="00280FF1" w:rsidRDefault="00280FF1" w:rsidP="002944ED"/>
    <w:p w14:paraId="78B52C3E" w14:textId="0B4FC29C" w:rsidR="00871C74" w:rsidRDefault="00FF10DD" w:rsidP="002944ED">
      <w:pPr>
        <w:rPr>
          <w:lang w:eastAsia="zh-CN"/>
        </w:rPr>
      </w:pPr>
      <w:r>
        <w:t>In RAN2#115-e, the</w:t>
      </w:r>
      <w:r w:rsidR="005D774E">
        <w:t xml:space="preserve"> variance part of the measurement start</w:t>
      </w:r>
      <w:r w:rsidR="00882983">
        <w:t>ing</w:t>
      </w:r>
      <w:r w:rsidR="005D774E">
        <w:t xml:space="preserve"> criteria </w:t>
      </w:r>
      <w:r w:rsidR="00882983">
        <w:t>to reuse legacy relaxed monitoring was also agreed.</w:t>
      </w:r>
      <w:r w:rsidR="00871C74">
        <w:t xml:space="preserve"> For legacy relaxed monitoring, only </w:t>
      </w:r>
      <w:proofErr w:type="spellStart"/>
      <w:r w:rsidR="00871C74">
        <w:t>S</w:t>
      </w:r>
      <w:r w:rsidR="00871C74">
        <w:rPr>
          <w:vertAlign w:val="subscript"/>
        </w:rPr>
        <w:t>SearchDeltaP</w:t>
      </w:r>
      <w:proofErr w:type="spellEnd"/>
      <w:r w:rsidR="00871C74">
        <w:t xml:space="preserve"> is provided in SIB3-NB, the other parameter </w:t>
      </w:r>
      <w:proofErr w:type="spellStart"/>
      <w:r w:rsidR="004C1400">
        <w:t>T</w:t>
      </w:r>
      <w:r w:rsidR="004C1400">
        <w:rPr>
          <w:vertAlign w:val="subscript"/>
        </w:rPr>
        <w:t>SearchDeltaP</w:t>
      </w:r>
      <w:proofErr w:type="spellEnd"/>
      <w:r w:rsidR="00871C74">
        <w:t xml:space="preserve"> is hardcoded to </w:t>
      </w:r>
      <w:r w:rsidR="00871C74">
        <w:rPr>
          <w:lang w:eastAsia="zh-CN"/>
        </w:rPr>
        <w:t xml:space="preserve">5 minutes, or the </w:t>
      </w:r>
      <w:proofErr w:type="spellStart"/>
      <w:r w:rsidR="00871C74">
        <w:rPr>
          <w:lang w:eastAsia="zh-CN"/>
        </w:rPr>
        <w:t>eDRX</w:t>
      </w:r>
      <w:proofErr w:type="spellEnd"/>
      <w:r w:rsidR="00871C74">
        <w:rPr>
          <w:lang w:eastAsia="zh-CN"/>
        </w:rPr>
        <w:t xml:space="preserve"> cycle length if </w:t>
      </w:r>
      <w:proofErr w:type="spellStart"/>
      <w:r w:rsidR="00871C74">
        <w:rPr>
          <w:lang w:eastAsia="zh-CN"/>
        </w:rPr>
        <w:t>eDRX</w:t>
      </w:r>
      <w:proofErr w:type="spellEnd"/>
      <w:r w:rsidR="00871C74">
        <w:rPr>
          <w:lang w:eastAsia="zh-CN"/>
        </w:rPr>
        <w:t xml:space="preserve"> is configured and the </w:t>
      </w:r>
      <w:proofErr w:type="spellStart"/>
      <w:r w:rsidR="00871C74">
        <w:rPr>
          <w:lang w:eastAsia="zh-CN"/>
        </w:rPr>
        <w:t>eDRX</w:t>
      </w:r>
      <w:proofErr w:type="spellEnd"/>
      <w:r w:rsidR="00871C74">
        <w:rPr>
          <w:lang w:eastAsia="zh-CN"/>
        </w:rPr>
        <w:t xml:space="preserve"> cycle length is longer than 5 minutes.</w:t>
      </w:r>
    </w:p>
    <w:p w14:paraId="73927F51" w14:textId="40F864AE" w:rsidR="004C1400" w:rsidRPr="00E81305" w:rsidRDefault="00871C74" w:rsidP="002944ED">
      <w:r>
        <w:rPr>
          <w:lang w:eastAsia="zh-CN"/>
        </w:rPr>
        <w:t xml:space="preserve">Below is the table for 36.133, when </w:t>
      </w:r>
      <w:proofErr w:type="spellStart"/>
      <w:r>
        <w:rPr>
          <w:lang w:eastAsia="zh-CN"/>
        </w:rPr>
        <w:t>Rmax</w:t>
      </w:r>
      <w:proofErr w:type="spellEnd"/>
      <w:r>
        <w:rPr>
          <w:lang w:eastAsia="zh-CN"/>
        </w:rPr>
        <w:t xml:space="preserve"> &gt; 64, </w:t>
      </w:r>
      <w:proofErr w:type="spellStart"/>
      <w:r w:rsidRPr="00871C74">
        <w:rPr>
          <w:rFonts w:ascii="Arial" w:eastAsia="Times New Roman" w:hAnsi="Arial" w:cs="Arial"/>
          <w:color w:val="000000"/>
          <w:sz w:val="18"/>
          <w:szCs w:val="18"/>
          <w:lang w:val="en-US" w:eastAsia="zh-CN"/>
        </w:rPr>
        <w:t>T</w:t>
      </w:r>
      <w:r w:rsidRPr="00871C74">
        <w:rPr>
          <w:rFonts w:ascii="Arial" w:eastAsia="Times New Roman" w:hAnsi="Arial" w:cs="Arial"/>
          <w:color w:val="000000"/>
          <w:sz w:val="18"/>
          <w:szCs w:val="18"/>
          <w:vertAlign w:val="subscript"/>
          <w:lang w:val="en-US" w:eastAsia="zh-CN"/>
        </w:rPr>
        <w:t>Evaluate_</w:t>
      </w:r>
      <w:r w:rsidRPr="00871C74">
        <w:rPr>
          <w:rFonts w:ascii="Arial" w:eastAsia="Times New Roman" w:hAnsi="Arial" w:cs="Arial"/>
          <w:color w:val="000000"/>
          <w:sz w:val="18"/>
          <w:szCs w:val="18"/>
          <w:lang w:val="en-US" w:eastAsia="zh-CN"/>
        </w:rPr>
        <w:t>Q</w:t>
      </w:r>
      <w:r w:rsidRPr="00871C74">
        <w:rPr>
          <w:rFonts w:ascii="Arial" w:eastAsia="Times New Roman" w:hAnsi="Arial" w:cs="Arial"/>
          <w:color w:val="000000"/>
          <w:sz w:val="18"/>
          <w:szCs w:val="18"/>
          <w:vertAlign w:val="subscript"/>
          <w:lang w:val="en-US" w:eastAsia="zh-CN"/>
        </w:rPr>
        <w:t>out_NB</w:t>
      </w:r>
      <w:proofErr w:type="spellEnd"/>
      <w:r w:rsidRPr="00871C74">
        <w:rPr>
          <w:rFonts w:ascii="Arial" w:eastAsia="Times New Roman" w:hAnsi="Arial" w:cs="Arial"/>
          <w:color w:val="000000"/>
          <w:sz w:val="18"/>
          <w:szCs w:val="18"/>
          <w:vertAlign w:val="subscript"/>
          <w:lang w:val="en-US" w:eastAsia="zh-CN"/>
        </w:rPr>
        <w:t>-IoT</w:t>
      </w:r>
      <w:r>
        <w:rPr>
          <w:rFonts w:ascii="Arial" w:eastAsia="Times New Roman" w:hAnsi="Arial" w:cs="Arial"/>
          <w:color w:val="000000"/>
          <w:sz w:val="18"/>
          <w:szCs w:val="18"/>
          <w:lang w:val="en-US" w:eastAsia="zh-CN"/>
        </w:rPr>
        <w:t xml:space="preserve"> = 4s, assume N310 is set to 20</w:t>
      </w:r>
      <w:r w:rsidR="004C1400">
        <w:rPr>
          <w:rFonts w:ascii="Arial" w:eastAsia="Times New Roman" w:hAnsi="Arial" w:cs="Arial"/>
          <w:color w:val="000000"/>
          <w:sz w:val="18"/>
          <w:szCs w:val="18"/>
          <w:lang w:val="en-US" w:eastAsia="zh-CN"/>
        </w:rPr>
        <w:t xml:space="preserve"> and T310 is 8s, then the time slot from the first out of sync to RLF declaration is about 88s, which is much less than </w:t>
      </w:r>
      <w:proofErr w:type="spellStart"/>
      <w:r w:rsidR="004C1400">
        <w:t>T</w:t>
      </w:r>
      <w:r w:rsidR="004C1400">
        <w:rPr>
          <w:vertAlign w:val="subscript"/>
        </w:rPr>
        <w:t>SearchDeltaP</w:t>
      </w:r>
      <w:proofErr w:type="spellEnd"/>
      <w:r w:rsidR="004C1400">
        <w:rPr>
          <w:rFonts w:ascii="Arial" w:eastAsia="Times New Roman" w:hAnsi="Arial" w:cs="Arial"/>
          <w:color w:val="000000"/>
          <w:sz w:val="18"/>
          <w:szCs w:val="18"/>
          <w:lang w:val="en-US" w:eastAsia="zh-CN"/>
        </w:rPr>
        <w:t>.</w:t>
      </w:r>
      <w:r w:rsidR="00E81305">
        <w:rPr>
          <w:rFonts w:ascii="Arial" w:eastAsia="Times New Roman" w:hAnsi="Arial" w:cs="Arial"/>
          <w:color w:val="000000"/>
          <w:sz w:val="18"/>
          <w:szCs w:val="18"/>
          <w:lang w:val="en-US" w:eastAsia="zh-CN"/>
        </w:rPr>
        <w:t xml:space="preserve"> </w:t>
      </w:r>
      <w:r w:rsidR="004C1400">
        <w:rPr>
          <w:rFonts w:ascii="Arial" w:eastAsia="Times New Roman" w:hAnsi="Arial" w:cs="Arial"/>
          <w:color w:val="000000"/>
          <w:sz w:val="18"/>
          <w:szCs w:val="18"/>
          <w:lang w:val="en-US" w:eastAsia="zh-CN"/>
        </w:rPr>
        <w:t xml:space="preserve">Considering </w:t>
      </w:r>
      <w:r w:rsidR="00E81305">
        <w:rPr>
          <w:rFonts w:ascii="Arial" w:eastAsia="Times New Roman" w:hAnsi="Arial" w:cs="Arial"/>
          <w:color w:val="000000"/>
          <w:sz w:val="18"/>
          <w:szCs w:val="18"/>
          <w:lang w:val="en-US" w:eastAsia="zh-CN"/>
        </w:rPr>
        <w:t>starting</w:t>
      </w:r>
      <w:r w:rsidR="004C1400">
        <w:rPr>
          <w:rFonts w:ascii="Arial" w:eastAsia="Times New Roman" w:hAnsi="Arial" w:cs="Arial"/>
          <w:color w:val="000000"/>
          <w:sz w:val="18"/>
          <w:szCs w:val="18"/>
          <w:lang w:val="en-US" w:eastAsia="zh-CN"/>
        </w:rPr>
        <w:t xml:space="preserve"> UE measurement early</w:t>
      </w:r>
      <w:r w:rsidR="00E81305">
        <w:rPr>
          <w:rFonts w:ascii="Arial" w:eastAsia="Times New Roman" w:hAnsi="Arial" w:cs="Arial"/>
          <w:color w:val="000000"/>
          <w:sz w:val="18"/>
          <w:szCs w:val="18"/>
          <w:lang w:val="en-US" w:eastAsia="zh-CN"/>
        </w:rPr>
        <w:t xml:space="preserve"> before RLF, it’s beneficial to set </w:t>
      </w:r>
      <w:proofErr w:type="spellStart"/>
      <w:r w:rsidR="00E81305">
        <w:t>T</w:t>
      </w:r>
      <w:r w:rsidR="00E81305">
        <w:rPr>
          <w:vertAlign w:val="subscript"/>
        </w:rPr>
        <w:t>SearchDeltaP</w:t>
      </w:r>
      <w:proofErr w:type="spellEnd"/>
      <w:r w:rsidR="00E81305">
        <w:t xml:space="preserve"> to a small value than legacy and make it as configurable. </w:t>
      </w:r>
    </w:p>
    <w:p w14:paraId="18ED262B" w14:textId="77777777" w:rsidR="00871C74" w:rsidRPr="00871C74" w:rsidRDefault="00871C74" w:rsidP="00E81305">
      <w:pPr>
        <w:overflowPunct/>
        <w:autoSpaceDE/>
        <w:autoSpaceDN/>
        <w:adjustRightInd/>
        <w:spacing w:before="60" w:after="160"/>
        <w:jc w:val="center"/>
        <w:textAlignment w:val="auto"/>
        <w:rPr>
          <w:rFonts w:ascii="Arial" w:eastAsia="Times New Roman" w:hAnsi="Arial" w:cs="Arial"/>
          <w:sz w:val="22"/>
          <w:szCs w:val="22"/>
          <w:lang w:val="en-US" w:eastAsia="zh-CN"/>
        </w:rPr>
      </w:pPr>
      <w:r w:rsidRPr="00871C74">
        <w:rPr>
          <w:rFonts w:ascii="Arial" w:eastAsia="Times New Roman" w:hAnsi="Arial" w:cs="Arial"/>
          <w:b/>
          <w:bCs/>
          <w:sz w:val="22"/>
          <w:szCs w:val="22"/>
          <w:lang w:val="en-US" w:eastAsia="zh-CN"/>
        </w:rPr>
        <w:t xml:space="preserve">Table 7.23.2.1-1 </w:t>
      </w:r>
      <w:proofErr w:type="spellStart"/>
      <w:r w:rsidRPr="00871C74">
        <w:rPr>
          <w:rFonts w:ascii="Arial" w:eastAsia="Times New Roman" w:hAnsi="Arial" w:cs="Arial"/>
          <w:b/>
          <w:bCs/>
          <w:sz w:val="22"/>
          <w:szCs w:val="22"/>
          <w:lang w:val="en-US" w:eastAsia="zh-CN"/>
        </w:rPr>
        <w:t>Q</w:t>
      </w:r>
      <w:r w:rsidRPr="00871C74">
        <w:rPr>
          <w:rFonts w:ascii="Arial" w:eastAsia="Times New Roman" w:hAnsi="Arial" w:cs="Arial"/>
          <w:b/>
          <w:bCs/>
          <w:sz w:val="22"/>
          <w:szCs w:val="22"/>
          <w:vertAlign w:val="subscript"/>
          <w:lang w:val="en-US" w:eastAsia="zh-CN"/>
        </w:rPr>
        <w:t>out</w:t>
      </w:r>
      <w:proofErr w:type="spellEnd"/>
      <w:r w:rsidRPr="00871C74">
        <w:rPr>
          <w:rFonts w:ascii="Arial" w:eastAsia="Times New Roman" w:hAnsi="Arial" w:cs="Arial"/>
          <w:b/>
          <w:bCs/>
          <w:sz w:val="22"/>
          <w:szCs w:val="22"/>
          <w:lang w:val="en-US" w:eastAsia="zh-CN"/>
        </w:rPr>
        <w:t xml:space="preserve"> and Q</w:t>
      </w:r>
      <w:r w:rsidRPr="00871C74">
        <w:rPr>
          <w:rFonts w:ascii="Arial" w:eastAsia="Times New Roman" w:hAnsi="Arial" w:cs="Arial"/>
          <w:b/>
          <w:bCs/>
          <w:sz w:val="22"/>
          <w:szCs w:val="22"/>
          <w:vertAlign w:val="subscript"/>
          <w:lang w:val="en-US" w:eastAsia="zh-CN"/>
        </w:rPr>
        <w:t>in</w:t>
      </w:r>
      <w:r w:rsidRPr="00871C74">
        <w:rPr>
          <w:rFonts w:ascii="Arial" w:eastAsia="Times New Roman" w:hAnsi="Arial" w:cs="Arial"/>
          <w:b/>
          <w:bCs/>
          <w:sz w:val="22"/>
          <w:szCs w:val="22"/>
          <w:lang w:val="en-US" w:eastAsia="zh-CN"/>
        </w:rPr>
        <w:t xml:space="preserve"> c in non-DRX for Category NB1 UE</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503"/>
        <w:gridCol w:w="1758"/>
        <w:gridCol w:w="1558"/>
      </w:tblGrid>
      <w:tr w:rsidR="00871C74" w:rsidRPr="00871C74" w14:paraId="76EF08C8" w14:textId="77777777" w:rsidTr="00E81305">
        <w:trPr>
          <w:jc w:val="center"/>
        </w:trPr>
        <w:tc>
          <w:tcPr>
            <w:tcW w:w="250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CDDFB1D"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r w:rsidRPr="00871C74">
              <w:rPr>
                <w:rFonts w:ascii="Arial" w:eastAsia="Times New Roman" w:hAnsi="Arial" w:cs="Arial"/>
                <w:b/>
                <w:bCs/>
                <w:sz w:val="18"/>
                <w:szCs w:val="18"/>
                <w:lang w:val="en-US" w:eastAsia="zh-CN"/>
              </w:rPr>
              <w:t xml:space="preserve">Configured NPDCCH </w:t>
            </w:r>
            <w:proofErr w:type="spellStart"/>
            <w:r w:rsidRPr="00871C74">
              <w:rPr>
                <w:rFonts w:ascii="Arial" w:eastAsia="Times New Roman" w:hAnsi="Arial" w:cs="Arial"/>
                <w:b/>
                <w:bCs/>
                <w:sz w:val="18"/>
                <w:szCs w:val="18"/>
                <w:lang w:val="en-US" w:eastAsia="zh-CN"/>
              </w:rPr>
              <w:t>R</w:t>
            </w:r>
            <w:r w:rsidRPr="00871C74">
              <w:rPr>
                <w:rFonts w:ascii="Arial" w:eastAsia="Times New Roman" w:hAnsi="Arial" w:cs="Arial"/>
                <w:b/>
                <w:bCs/>
                <w:sz w:val="18"/>
                <w:szCs w:val="18"/>
                <w:vertAlign w:val="subscript"/>
                <w:lang w:val="en-US" w:eastAsia="zh-CN"/>
              </w:rPr>
              <w:t>max</w:t>
            </w:r>
            <w:proofErr w:type="spellEnd"/>
          </w:p>
        </w:tc>
        <w:tc>
          <w:tcPr>
            <w:tcW w:w="1758"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AF769EA" w14:textId="77777777" w:rsidR="00871C74" w:rsidRPr="00871C74" w:rsidRDefault="00871C74" w:rsidP="00E81305">
            <w:pPr>
              <w:overflowPunct/>
              <w:autoSpaceDE/>
              <w:autoSpaceDN/>
              <w:adjustRightInd/>
              <w:spacing w:after="0"/>
              <w:jc w:val="center"/>
              <w:textAlignment w:val="auto"/>
              <w:rPr>
                <w:rFonts w:ascii="Arial" w:eastAsia="Times New Roman" w:hAnsi="Arial" w:cs="Arial"/>
                <w:color w:val="000000"/>
                <w:sz w:val="18"/>
                <w:szCs w:val="18"/>
                <w:lang w:val="en-US" w:eastAsia="zh-CN"/>
              </w:rPr>
            </w:pPr>
            <w:proofErr w:type="spellStart"/>
            <w:r w:rsidRPr="00871C74">
              <w:rPr>
                <w:rFonts w:ascii="Arial" w:eastAsia="Times New Roman" w:hAnsi="Arial" w:cs="Arial"/>
                <w:b/>
                <w:bCs/>
                <w:color w:val="000000"/>
                <w:sz w:val="18"/>
                <w:szCs w:val="18"/>
                <w:lang w:val="en-US" w:eastAsia="zh-CN"/>
              </w:rPr>
              <w:t>T</w:t>
            </w:r>
            <w:r w:rsidRPr="00871C74">
              <w:rPr>
                <w:rFonts w:ascii="Arial" w:eastAsia="Times New Roman" w:hAnsi="Arial" w:cs="Arial"/>
                <w:b/>
                <w:bCs/>
                <w:color w:val="000000"/>
                <w:sz w:val="18"/>
                <w:szCs w:val="18"/>
                <w:vertAlign w:val="subscript"/>
                <w:lang w:val="en-US" w:eastAsia="zh-CN"/>
              </w:rPr>
              <w:t>Evaluate_</w:t>
            </w:r>
            <w:r w:rsidRPr="00871C74">
              <w:rPr>
                <w:rFonts w:ascii="Arial" w:eastAsia="Times New Roman" w:hAnsi="Arial" w:cs="Arial"/>
                <w:b/>
                <w:bCs/>
                <w:color w:val="000000"/>
                <w:sz w:val="18"/>
                <w:szCs w:val="18"/>
                <w:lang w:val="en-US" w:eastAsia="zh-CN"/>
              </w:rPr>
              <w:t>Q</w:t>
            </w:r>
            <w:r w:rsidRPr="00871C74">
              <w:rPr>
                <w:rFonts w:ascii="Arial" w:eastAsia="Times New Roman" w:hAnsi="Arial" w:cs="Arial"/>
                <w:b/>
                <w:bCs/>
                <w:color w:val="000000"/>
                <w:sz w:val="18"/>
                <w:szCs w:val="18"/>
                <w:vertAlign w:val="subscript"/>
                <w:lang w:val="en-US" w:eastAsia="zh-CN"/>
              </w:rPr>
              <w:t>out_NB</w:t>
            </w:r>
            <w:proofErr w:type="spellEnd"/>
            <w:r w:rsidRPr="00871C74">
              <w:rPr>
                <w:rFonts w:ascii="Arial" w:eastAsia="Times New Roman" w:hAnsi="Arial" w:cs="Arial"/>
                <w:b/>
                <w:bCs/>
                <w:color w:val="000000"/>
                <w:sz w:val="18"/>
                <w:szCs w:val="18"/>
                <w:vertAlign w:val="subscript"/>
                <w:lang w:val="en-US" w:eastAsia="zh-CN"/>
              </w:rPr>
              <w:t>-IoT</w:t>
            </w:r>
          </w:p>
        </w:tc>
        <w:tc>
          <w:tcPr>
            <w:tcW w:w="1558"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0A722CF" w14:textId="77777777" w:rsidR="00871C74" w:rsidRPr="00871C74" w:rsidRDefault="00871C74" w:rsidP="00E81305">
            <w:pPr>
              <w:overflowPunct/>
              <w:autoSpaceDE/>
              <w:autoSpaceDN/>
              <w:adjustRightInd/>
              <w:spacing w:after="0"/>
              <w:jc w:val="center"/>
              <w:textAlignment w:val="auto"/>
              <w:rPr>
                <w:rFonts w:ascii="Arial" w:eastAsia="Times New Roman" w:hAnsi="Arial" w:cs="Arial"/>
                <w:color w:val="000000"/>
                <w:sz w:val="18"/>
                <w:szCs w:val="18"/>
                <w:lang w:val="en-US" w:eastAsia="zh-CN"/>
              </w:rPr>
            </w:pPr>
            <w:proofErr w:type="spellStart"/>
            <w:r w:rsidRPr="00871C74">
              <w:rPr>
                <w:rFonts w:ascii="Arial" w:eastAsia="Times New Roman" w:hAnsi="Arial" w:cs="Arial"/>
                <w:b/>
                <w:bCs/>
                <w:color w:val="000000"/>
                <w:sz w:val="18"/>
                <w:szCs w:val="18"/>
                <w:lang w:val="en-US" w:eastAsia="zh-CN"/>
              </w:rPr>
              <w:t>T</w:t>
            </w:r>
            <w:r w:rsidRPr="00871C74">
              <w:rPr>
                <w:rFonts w:ascii="Arial" w:eastAsia="Times New Roman" w:hAnsi="Arial" w:cs="Arial"/>
                <w:b/>
                <w:bCs/>
                <w:color w:val="000000"/>
                <w:sz w:val="18"/>
                <w:szCs w:val="18"/>
                <w:vertAlign w:val="subscript"/>
                <w:lang w:val="en-US" w:eastAsia="zh-CN"/>
              </w:rPr>
              <w:t>Evaluate_</w:t>
            </w:r>
            <w:r w:rsidRPr="00871C74">
              <w:rPr>
                <w:rFonts w:ascii="Arial" w:eastAsia="Times New Roman" w:hAnsi="Arial" w:cs="Arial"/>
                <w:b/>
                <w:bCs/>
                <w:color w:val="000000"/>
                <w:sz w:val="18"/>
                <w:szCs w:val="18"/>
                <w:lang w:val="en-US" w:eastAsia="zh-CN"/>
              </w:rPr>
              <w:t>Q</w:t>
            </w:r>
            <w:r w:rsidRPr="00871C74">
              <w:rPr>
                <w:rFonts w:ascii="Arial" w:eastAsia="Times New Roman" w:hAnsi="Arial" w:cs="Arial"/>
                <w:b/>
                <w:bCs/>
                <w:color w:val="000000"/>
                <w:sz w:val="18"/>
                <w:szCs w:val="18"/>
                <w:vertAlign w:val="subscript"/>
                <w:lang w:val="en-US" w:eastAsia="zh-CN"/>
              </w:rPr>
              <w:t>in_NB</w:t>
            </w:r>
            <w:proofErr w:type="spellEnd"/>
            <w:r w:rsidRPr="00871C74">
              <w:rPr>
                <w:rFonts w:ascii="Arial" w:eastAsia="Times New Roman" w:hAnsi="Arial" w:cs="Arial"/>
                <w:b/>
                <w:bCs/>
                <w:color w:val="000000"/>
                <w:sz w:val="18"/>
                <w:szCs w:val="18"/>
                <w:vertAlign w:val="subscript"/>
                <w:lang w:val="en-US" w:eastAsia="zh-CN"/>
              </w:rPr>
              <w:t>-IoT</w:t>
            </w:r>
          </w:p>
        </w:tc>
      </w:tr>
      <w:tr w:rsidR="00871C74" w:rsidRPr="00871C74" w14:paraId="3FC3F003" w14:textId="77777777" w:rsidTr="00E81305">
        <w:trPr>
          <w:jc w:val="center"/>
        </w:trPr>
        <w:tc>
          <w:tcPr>
            <w:tcW w:w="24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30D997"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proofErr w:type="spellStart"/>
            <w:r w:rsidRPr="00871C74">
              <w:rPr>
                <w:rFonts w:ascii="Arial" w:eastAsia="Times New Roman" w:hAnsi="Arial" w:cs="Arial"/>
                <w:sz w:val="18"/>
                <w:szCs w:val="18"/>
                <w:lang w:val="en-US" w:eastAsia="zh-CN"/>
              </w:rPr>
              <w:t>R</w:t>
            </w:r>
            <w:r w:rsidRPr="00871C74">
              <w:rPr>
                <w:rFonts w:ascii="Arial" w:eastAsia="Times New Roman" w:hAnsi="Arial" w:cs="Arial"/>
                <w:sz w:val="18"/>
                <w:szCs w:val="18"/>
                <w:vertAlign w:val="subscript"/>
                <w:lang w:val="en-US" w:eastAsia="zh-CN"/>
              </w:rPr>
              <w:t>max</w:t>
            </w:r>
            <w:proofErr w:type="spellEnd"/>
            <w:r w:rsidRPr="00871C74">
              <w:rPr>
                <w:rFonts w:ascii="Arial" w:eastAsia="Times New Roman" w:hAnsi="Arial" w:cs="Arial"/>
                <w:sz w:val="18"/>
                <w:szCs w:val="18"/>
                <w:lang w:val="en-US" w:eastAsia="zh-CN"/>
              </w:rPr>
              <w:t xml:space="preserve"> ≤ 64</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18564A"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r w:rsidRPr="00871C74">
              <w:rPr>
                <w:rFonts w:ascii="Arial" w:eastAsia="Times New Roman" w:hAnsi="Arial" w:cs="Arial"/>
                <w:sz w:val="18"/>
                <w:szCs w:val="18"/>
                <w:lang w:val="en-US" w:eastAsia="zh-CN"/>
              </w:rPr>
              <w:t>400ms</w:t>
            </w:r>
          </w:p>
        </w:tc>
        <w:tc>
          <w:tcPr>
            <w:tcW w:w="1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325F5"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r w:rsidRPr="00871C74">
              <w:rPr>
                <w:rFonts w:ascii="Arial" w:eastAsia="Times New Roman" w:hAnsi="Arial" w:cs="Arial"/>
                <w:sz w:val="18"/>
                <w:szCs w:val="18"/>
                <w:lang w:val="en-US" w:eastAsia="zh-CN"/>
              </w:rPr>
              <w:t>200ms</w:t>
            </w:r>
          </w:p>
        </w:tc>
      </w:tr>
      <w:tr w:rsidR="00871C74" w:rsidRPr="00871C74" w14:paraId="498F7E38" w14:textId="77777777" w:rsidTr="00E81305">
        <w:trPr>
          <w:jc w:val="center"/>
        </w:trPr>
        <w:tc>
          <w:tcPr>
            <w:tcW w:w="24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DB6BEB"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proofErr w:type="spellStart"/>
            <w:r w:rsidRPr="00871C74">
              <w:rPr>
                <w:rFonts w:ascii="Arial" w:eastAsia="Times New Roman" w:hAnsi="Arial" w:cs="Arial"/>
                <w:sz w:val="18"/>
                <w:szCs w:val="18"/>
                <w:lang w:val="en-US" w:eastAsia="zh-CN"/>
              </w:rPr>
              <w:t>R</w:t>
            </w:r>
            <w:r w:rsidRPr="00871C74">
              <w:rPr>
                <w:rFonts w:ascii="Arial" w:eastAsia="Times New Roman" w:hAnsi="Arial" w:cs="Arial"/>
                <w:sz w:val="18"/>
                <w:szCs w:val="18"/>
                <w:vertAlign w:val="subscript"/>
                <w:lang w:val="en-US" w:eastAsia="zh-CN"/>
              </w:rPr>
              <w:t>max</w:t>
            </w:r>
            <w:proofErr w:type="spellEnd"/>
            <w:r w:rsidRPr="00871C74">
              <w:rPr>
                <w:rFonts w:ascii="Arial" w:eastAsia="Times New Roman" w:hAnsi="Arial" w:cs="Arial"/>
                <w:sz w:val="18"/>
                <w:szCs w:val="18"/>
                <w:lang w:val="en-US" w:eastAsia="zh-CN"/>
              </w:rPr>
              <w:t>&gt; 64</w:t>
            </w:r>
          </w:p>
        </w:tc>
        <w:tc>
          <w:tcPr>
            <w:tcW w:w="17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8057E"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r w:rsidRPr="00871C74">
              <w:rPr>
                <w:rFonts w:ascii="Arial" w:eastAsia="Times New Roman" w:hAnsi="Arial" w:cs="Arial"/>
                <w:sz w:val="18"/>
                <w:szCs w:val="18"/>
                <w:lang w:val="en-US" w:eastAsia="zh-CN"/>
              </w:rPr>
              <w:t>4000ms</w:t>
            </w:r>
          </w:p>
        </w:tc>
        <w:tc>
          <w:tcPr>
            <w:tcW w:w="1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87748F" w14:textId="77777777" w:rsidR="00871C74" w:rsidRPr="00871C74" w:rsidRDefault="00871C74" w:rsidP="00E81305">
            <w:pPr>
              <w:overflowPunct/>
              <w:autoSpaceDE/>
              <w:autoSpaceDN/>
              <w:adjustRightInd/>
              <w:spacing w:after="0"/>
              <w:jc w:val="center"/>
              <w:textAlignment w:val="auto"/>
              <w:rPr>
                <w:rFonts w:ascii="Arial" w:eastAsia="Times New Roman" w:hAnsi="Arial" w:cs="Arial"/>
                <w:sz w:val="18"/>
                <w:szCs w:val="18"/>
                <w:lang w:val="en-US" w:eastAsia="zh-CN"/>
              </w:rPr>
            </w:pPr>
            <w:r w:rsidRPr="00871C74">
              <w:rPr>
                <w:rFonts w:ascii="Arial" w:eastAsia="Times New Roman" w:hAnsi="Arial" w:cs="Arial"/>
                <w:sz w:val="18"/>
                <w:szCs w:val="18"/>
                <w:lang w:val="en-US" w:eastAsia="zh-CN"/>
              </w:rPr>
              <w:t>2000ms</w:t>
            </w:r>
          </w:p>
        </w:tc>
      </w:tr>
    </w:tbl>
    <w:p w14:paraId="33DC615B" w14:textId="77777777" w:rsidR="00871C74" w:rsidRDefault="00871C74" w:rsidP="002944ED"/>
    <w:p w14:paraId="03A6FB1B" w14:textId="49A34ED5" w:rsidR="002944ED" w:rsidRPr="00280FF1" w:rsidRDefault="00E81305" w:rsidP="00280FF1">
      <w:pPr>
        <w:pStyle w:val="Caption"/>
        <w:ind w:left="1728" w:hanging="1728"/>
      </w:pPr>
      <w:bookmarkStart w:id="4" w:name="_Ref83634225"/>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2D1CA3">
        <w:rPr>
          <w:rFonts w:ascii="Arial" w:hAnsi="Arial" w:cs="Arial"/>
          <w:noProof/>
        </w:rPr>
        <w:t>2</w:t>
      </w:r>
      <w:r w:rsidRPr="00D26B3C">
        <w:rPr>
          <w:rFonts w:ascii="Arial" w:hAnsi="Arial" w:cs="Arial"/>
        </w:rPr>
        <w:fldChar w:fldCharType="end"/>
      </w:r>
      <w:r w:rsidRPr="00FB5AB8">
        <w:rPr>
          <w:rFonts w:ascii="Arial" w:hAnsi="Arial" w:cs="Arial"/>
        </w:rPr>
        <w:tab/>
      </w:r>
      <w:r>
        <w:rPr>
          <w:rFonts w:ascii="Arial" w:hAnsi="Arial" w:cs="Arial"/>
        </w:rPr>
        <w:t xml:space="preserve">Regarding the </w:t>
      </w:r>
      <w:r w:rsidRPr="00E81305">
        <w:rPr>
          <w:rFonts w:ascii="Arial" w:hAnsi="Arial" w:cs="Arial"/>
        </w:rPr>
        <w:t>variance part of the criteria to start the measurements</w:t>
      </w:r>
      <w:r>
        <w:rPr>
          <w:rFonts w:ascii="Arial" w:hAnsi="Arial" w:cs="Arial"/>
        </w:rPr>
        <w:t xml:space="preserve">, legacy </w:t>
      </w:r>
      <w:proofErr w:type="spellStart"/>
      <w:r w:rsidRPr="00E81305">
        <w:rPr>
          <w:rFonts w:ascii="Arial" w:hAnsi="Arial" w:cs="Arial"/>
        </w:rPr>
        <w:t>SSearchDeltaP</w:t>
      </w:r>
      <w:proofErr w:type="spellEnd"/>
      <w:r w:rsidRPr="00E81305">
        <w:rPr>
          <w:rFonts w:ascii="Arial" w:hAnsi="Arial" w:cs="Arial"/>
        </w:rPr>
        <w:t xml:space="preserve"> </w:t>
      </w:r>
      <w:r>
        <w:rPr>
          <w:rFonts w:ascii="Arial" w:hAnsi="Arial" w:cs="Arial"/>
        </w:rPr>
        <w:t>from RRC</w:t>
      </w:r>
      <w:r>
        <w:rPr>
          <w:rFonts w:ascii="Arial" w:hAnsi="Arial" w:cs="Arial"/>
          <w:lang w:eastAsia="zh-CN"/>
        </w:rPr>
        <w:t xml:space="preserve">_IDLE </w:t>
      </w:r>
      <w:r w:rsidRPr="00E81305">
        <w:rPr>
          <w:rFonts w:ascii="Arial" w:hAnsi="Arial" w:cs="Arial"/>
        </w:rPr>
        <w:t>can be reused</w:t>
      </w:r>
      <w:r w:rsidR="006610F0">
        <w:rPr>
          <w:rFonts w:ascii="Arial" w:hAnsi="Arial" w:cs="Arial"/>
        </w:rPr>
        <w:t xml:space="preserve"> or can be different</w:t>
      </w:r>
      <w:r w:rsidRPr="00E81305">
        <w:rPr>
          <w:rFonts w:ascii="Arial" w:hAnsi="Arial" w:cs="Arial"/>
        </w:rPr>
        <w:t xml:space="preserve">, while separate </w:t>
      </w:r>
      <w:proofErr w:type="spellStart"/>
      <w:r w:rsidRPr="00E81305">
        <w:rPr>
          <w:rFonts w:ascii="Arial" w:hAnsi="Arial" w:cs="Arial"/>
        </w:rPr>
        <w:t>TSearchDeltaP</w:t>
      </w:r>
      <w:proofErr w:type="spellEnd"/>
      <w:r w:rsidRPr="00E81305">
        <w:rPr>
          <w:rFonts w:ascii="Arial" w:hAnsi="Arial" w:cs="Arial"/>
        </w:rPr>
        <w:t xml:space="preserve"> should be </w:t>
      </w:r>
      <w:r>
        <w:rPr>
          <w:rFonts w:ascii="Arial" w:hAnsi="Arial" w:cs="Arial"/>
        </w:rPr>
        <w:t xml:space="preserve">introduced as </w:t>
      </w:r>
      <w:r w:rsidRPr="00E81305">
        <w:rPr>
          <w:rFonts w:ascii="Arial" w:hAnsi="Arial" w:cs="Arial"/>
        </w:rPr>
        <w:t>configurable</w:t>
      </w:r>
      <w:r>
        <w:rPr>
          <w:rFonts w:ascii="Arial" w:hAnsi="Arial" w:cs="Arial"/>
        </w:rPr>
        <w:t xml:space="preserve"> by</w:t>
      </w:r>
      <w:r w:rsidRPr="00E81305">
        <w:rPr>
          <w:rFonts w:ascii="Arial" w:hAnsi="Arial" w:cs="Arial"/>
        </w:rPr>
        <w:t xml:space="preserve"> </w:t>
      </w:r>
      <w:r w:rsidRPr="00E81305">
        <w:rPr>
          <w:rFonts w:ascii="Arial" w:hAnsi="Arial" w:cs="Arial"/>
          <w:i/>
          <w:iCs/>
        </w:rPr>
        <w:t>SIB3-NB</w:t>
      </w:r>
      <w:r>
        <w:t>.</w:t>
      </w:r>
      <w:bookmarkEnd w:id="4"/>
    </w:p>
    <w:p w14:paraId="496DFE50" w14:textId="209670B1" w:rsidR="00976FFE" w:rsidRDefault="00976FFE" w:rsidP="00EC0853">
      <w:pPr>
        <w:pStyle w:val="Heading2"/>
        <w:numPr>
          <w:ilvl w:val="1"/>
          <w:numId w:val="20"/>
        </w:numPr>
        <w:ind w:hanging="882"/>
        <w:rPr>
          <w:rFonts w:eastAsia="Times New Roman"/>
          <w:lang w:val="en-US"/>
        </w:rPr>
      </w:pPr>
      <w:r>
        <w:rPr>
          <w:rFonts w:eastAsia="Times New Roman"/>
          <w:lang w:val="en-US"/>
        </w:rPr>
        <w:t xml:space="preserve">Measurement occasion </w:t>
      </w:r>
    </w:p>
    <w:p w14:paraId="4F2E7926" w14:textId="5F1D4E62" w:rsidR="001A5EA9" w:rsidRPr="001A5EA9" w:rsidRDefault="001A5EA9" w:rsidP="001A5EA9">
      <w:pPr>
        <w:rPr>
          <w:lang w:val="en-US"/>
        </w:rPr>
      </w:pPr>
      <w:r>
        <w:rPr>
          <w:lang w:val="en-US"/>
        </w:rPr>
        <w:t xml:space="preserve">When the carrier frequencies of the serving cell and of </w:t>
      </w:r>
      <w:r w:rsidRPr="001A5EA9">
        <w:rPr>
          <w:lang w:val="en-US"/>
        </w:rPr>
        <w:t xml:space="preserve">measurement neighbour cell are different (scenarios B/D/E), </w:t>
      </w:r>
      <w:r>
        <w:rPr>
          <w:lang w:val="en-US"/>
        </w:rPr>
        <w:t xml:space="preserve">based on RAN4’s reply, </w:t>
      </w:r>
      <w:r w:rsidRPr="001A5EA9">
        <w:rPr>
          <w:lang w:val="en-US"/>
        </w:rPr>
        <w:t xml:space="preserve">UE can perform neighbour cell measurement without gaps without causing interruptions to serving cell </w:t>
      </w:r>
      <w:r w:rsidR="009C42D4">
        <w:rPr>
          <w:lang w:val="en-US"/>
        </w:rPr>
        <w:t xml:space="preserve">by </w:t>
      </w:r>
      <w:r w:rsidRPr="001A5EA9">
        <w:rPr>
          <w:lang w:val="en-US"/>
        </w:rPr>
        <w:t>using any occasion where the UE is not scheduled which includes any of the following:</w:t>
      </w:r>
    </w:p>
    <w:p w14:paraId="44EA8B0F" w14:textId="100228CA" w:rsidR="001A5EA9" w:rsidRPr="001A5EA9" w:rsidRDefault="001A5EA9" w:rsidP="001A5EA9">
      <w:pPr>
        <w:pStyle w:val="ListParagraph"/>
        <w:numPr>
          <w:ilvl w:val="0"/>
          <w:numId w:val="21"/>
        </w:numPr>
        <w:rPr>
          <w:rFonts w:ascii="Times New Roman" w:eastAsia="SimSun" w:hAnsi="Times New Roman"/>
          <w:sz w:val="20"/>
          <w:szCs w:val="20"/>
          <w:lang w:val="en-US" w:eastAsia="zh-CN"/>
        </w:rPr>
      </w:pPr>
      <w:r w:rsidRPr="001A5EA9">
        <w:rPr>
          <w:rFonts w:ascii="Times New Roman" w:eastAsia="SimSun" w:hAnsi="Times New Roman"/>
          <w:sz w:val="20"/>
          <w:szCs w:val="20"/>
          <w:lang w:val="en-US" w:eastAsia="zh-CN"/>
        </w:rPr>
        <w:t xml:space="preserve">Vacant slots not scheduled for data transmission, </w:t>
      </w:r>
      <w:r w:rsidR="00D8396B" w:rsidRPr="001A5EA9">
        <w:rPr>
          <w:rFonts w:ascii="Times New Roman" w:eastAsia="SimSun" w:hAnsi="Times New Roman"/>
          <w:sz w:val="20"/>
          <w:szCs w:val="20"/>
          <w:lang w:val="en-US" w:eastAsia="zh-CN"/>
        </w:rPr>
        <w:t>i.e.,</w:t>
      </w:r>
      <w:r w:rsidRPr="001A5EA9">
        <w:rPr>
          <w:rFonts w:ascii="Times New Roman" w:eastAsia="SimSun" w:hAnsi="Times New Roman"/>
          <w:sz w:val="20"/>
          <w:szCs w:val="20"/>
          <w:lang w:val="en-US" w:eastAsia="zh-CN"/>
        </w:rPr>
        <w:t xml:space="preserve"> when not required to do data transmission/reception </w:t>
      </w:r>
    </w:p>
    <w:p w14:paraId="74E599A2" w14:textId="77777777" w:rsidR="001A5EA9" w:rsidRPr="001A5EA9" w:rsidRDefault="001A5EA9" w:rsidP="001A5EA9">
      <w:pPr>
        <w:pStyle w:val="ListParagraph"/>
        <w:numPr>
          <w:ilvl w:val="0"/>
          <w:numId w:val="21"/>
        </w:numPr>
        <w:rPr>
          <w:rFonts w:ascii="Times New Roman" w:eastAsia="SimSun" w:hAnsi="Times New Roman"/>
          <w:sz w:val="20"/>
          <w:szCs w:val="20"/>
          <w:lang w:val="en-US" w:eastAsia="zh-CN"/>
        </w:rPr>
      </w:pPr>
      <w:r w:rsidRPr="001A5EA9">
        <w:rPr>
          <w:rFonts w:ascii="Times New Roman" w:eastAsia="SimSun" w:hAnsi="Times New Roman"/>
          <w:sz w:val="20"/>
          <w:szCs w:val="20"/>
          <w:lang w:val="en-US" w:eastAsia="zh-CN"/>
        </w:rPr>
        <w:t>When not required to do NPDCCH monitoring</w:t>
      </w:r>
    </w:p>
    <w:p w14:paraId="77D96BAF" w14:textId="517788D1" w:rsidR="001A5EA9" w:rsidRDefault="001A5EA9" w:rsidP="001A5EA9">
      <w:pPr>
        <w:pStyle w:val="ListParagraph"/>
        <w:numPr>
          <w:ilvl w:val="0"/>
          <w:numId w:val="21"/>
        </w:numPr>
        <w:rPr>
          <w:rFonts w:ascii="Times New Roman" w:eastAsia="SimSun" w:hAnsi="Times New Roman"/>
          <w:sz w:val="20"/>
          <w:szCs w:val="20"/>
          <w:lang w:val="en-US" w:eastAsia="zh-CN"/>
        </w:rPr>
      </w:pPr>
      <w:r w:rsidRPr="001A5EA9">
        <w:rPr>
          <w:rFonts w:ascii="Times New Roman" w:eastAsia="SimSun" w:hAnsi="Times New Roman"/>
          <w:sz w:val="20"/>
          <w:szCs w:val="20"/>
          <w:lang w:val="en-US" w:eastAsia="zh-CN"/>
        </w:rPr>
        <w:t xml:space="preserve">during the DRX inactive period </w:t>
      </w:r>
      <w:r w:rsidR="00D8396B" w:rsidRPr="001A5EA9">
        <w:rPr>
          <w:rFonts w:ascii="Times New Roman" w:eastAsia="SimSun" w:hAnsi="Times New Roman"/>
          <w:sz w:val="20"/>
          <w:szCs w:val="20"/>
          <w:lang w:val="en-US" w:eastAsia="zh-CN"/>
        </w:rPr>
        <w:t>i.e.,</w:t>
      </w:r>
      <w:r w:rsidRPr="001A5EA9">
        <w:rPr>
          <w:rFonts w:ascii="Times New Roman" w:eastAsia="SimSun" w:hAnsi="Times New Roman"/>
          <w:sz w:val="20"/>
          <w:szCs w:val="20"/>
          <w:lang w:val="en-US" w:eastAsia="zh-CN"/>
        </w:rPr>
        <w:t xml:space="preserve"> when the UE is configured with DRX. </w:t>
      </w:r>
    </w:p>
    <w:p w14:paraId="2CA050D1" w14:textId="77777777" w:rsidR="001A5EA9" w:rsidRPr="001A5EA9" w:rsidRDefault="001A5EA9" w:rsidP="001A5EA9">
      <w:pPr>
        <w:pStyle w:val="ListParagraph"/>
        <w:rPr>
          <w:rFonts w:ascii="Times New Roman" w:eastAsia="SimSun" w:hAnsi="Times New Roman"/>
          <w:sz w:val="20"/>
          <w:szCs w:val="20"/>
          <w:lang w:val="en-US" w:eastAsia="zh-CN"/>
        </w:rPr>
      </w:pPr>
    </w:p>
    <w:p w14:paraId="115AB06C" w14:textId="0254EBBC" w:rsidR="001A5EA9" w:rsidRDefault="001A5EA9" w:rsidP="006830DC">
      <w:pPr>
        <w:rPr>
          <w:lang w:val="en-US" w:eastAsia="zh-CN"/>
        </w:rPr>
      </w:pPr>
      <w:r>
        <w:rPr>
          <w:lang w:val="en-US"/>
        </w:rPr>
        <w:t>During last several meeting</w:t>
      </w:r>
      <w:r w:rsidR="009C126F">
        <w:rPr>
          <w:lang w:val="en-US"/>
        </w:rPr>
        <w:t>s</w:t>
      </w:r>
      <w:r>
        <w:rPr>
          <w:lang w:val="en-US"/>
        </w:rPr>
        <w:t>, there were proposals on UE report when it starts and stops neighbor cell measurement to infor</w:t>
      </w:r>
      <w:r>
        <w:rPr>
          <w:rFonts w:hint="eastAsia"/>
          <w:lang w:val="en-US" w:eastAsia="zh-CN"/>
        </w:rPr>
        <w:t>m</w:t>
      </w:r>
      <w:r>
        <w:rPr>
          <w:lang w:val="en-US" w:eastAsia="zh-CN"/>
        </w:rPr>
        <w:t xml:space="preserve"> NW to adapt its scheduling or directly to ask NW for gaps only for measurement. We think it is not necessary for UE to send this kind of report, one reason is that the natural gaps proposed by RAN4 may be enough for measurement</w:t>
      </w:r>
      <w:r w:rsidR="009C126F">
        <w:rPr>
          <w:lang w:val="en-US" w:eastAsia="zh-CN"/>
        </w:rPr>
        <w:t>, even not, UE can continue perform neighbor cell measurement after RLF</w:t>
      </w:r>
      <w:r>
        <w:rPr>
          <w:lang w:val="en-US" w:eastAsia="zh-CN"/>
        </w:rPr>
        <w:t xml:space="preserve">. </w:t>
      </w:r>
      <w:r w:rsidR="009C126F">
        <w:rPr>
          <w:lang w:val="en-US" w:eastAsia="zh-CN"/>
        </w:rPr>
        <w:t>A</w:t>
      </w:r>
      <w:r>
        <w:rPr>
          <w:lang w:val="en-US" w:eastAsia="zh-CN"/>
        </w:rPr>
        <w:t xml:space="preserve">nother reason is that if to make UE report only necessary, UE needs to evaluate the time needed for neighbor cell measurement, and it is difficult for UE to evaluate, </w:t>
      </w:r>
      <w:r w:rsidR="009C126F">
        <w:rPr>
          <w:lang w:val="en-US" w:eastAsia="zh-CN"/>
        </w:rPr>
        <w:t>and</w:t>
      </w:r>
      <w:r>
        <w:rPr>
          <w:lang w:val="en-US" w:eastAsia="zh-CN"/>
        </w:rPr>
        <w:t xml:space="preserve"> may result in UE implementation dependency. </w:t>
      </w:r>
    </w:p>
    <w:p w14:paraId="39241F75" w14:textId="648CA8EF" w:rsidR="00EC0853" w:rsidRPr="001F23F9" w:rsidRDefault="009C126F" w:rsidP="001F23F9">
      <w:pPr>
        <w:pStyle w:val="Caption"/>
        <w:ind w:left="1728" w:hanging="1728"/>
        <w:rPr>
          <w:rFonts w:ascii="Arial" w:hAnsi="Arial" w:cs="Arial"/>
        </w:rPr>
      </w:pPr>
      <w:bookmarkStart w:id="5" w:name="_Ref81575829"/>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2D1CA3">
        <w:rPr>
          <w:rFonts w:ascii="Arial" w:hAnsi="Arial" w:cs="Arial"/>
          <w:noProof/>
        </w:rPr>
        <w:t>3</w:t>
      </w:r>
      <w:r w:rsidRPr="00D26B3C">
        <w:rPr>
          <w:rFonts w:ascii="Arial" w:hAnsi="Arial" w:cs="Arial"/>
        </w:rPr>
        <w:fldChar w:fldCharType="end"/>
      </w:r>
      <w:r w:rsidRPr="00FB5AB8">
        <w:rPr>
          <w:rFonts w:ascii="Arial" w:hAnsi="Arial" w:cs="Arial"/>
        </w:rPr>
        <w:tab/>
      </w:r>
      <w:r>
        <w:rPr>
          <w:rFonts w:ascii="Arial" w:hAnsi="Arial" w:cs="Arial"/>
        </w:rPr>
        <w:t>It is not needed for UE to report when it starts/stop</w:t>
      </w:r>
      <w:r w:rsidR="009C42D4">
        <w:rPr>
          <w:rFonts w:ascii="Arial" w:hAnsi="Arial" w:cs="Arial"/>
        </w:rPr>
        <w:t>s</w:t>
      </w:r>
      <w:r>
        <w:rPr>
          <w:rFonts w:ascii="Arial" w:hAnsi="Arial" w:cs="Arial"/>
        </w:rPr>
        <w:t xml:space="preserve"> measur</w:t>
      </w:r>
      <w:r w:rsidR="003675ED">
        <w:rPr>
          <w:rFonts w:ascii="Arial" w:hAnsi="Arial" w:cs="Arial"/>
        </w:rPr>
        <w:t>e</w:t>
      </w:r>
      <w:r>
        <w:rPr>
          <w:rFonts w:ascii="Arial" w:hAnsi="Arial" w:cs="Arial"/>
        </w:rPr>
        <w:t>ments.</w:t>
      </w:r>
      <w:bookmarkEnd w:id="5"/>
    </w:p>
    <w:p w14:paraId="3F8B46A4" w14:textId="791FBA57" w:rsidR="006830DC" w:rsidRPr="009C126F" w:rsidRDefault="009108CA" w:rsidP="00EC0853">
      <w:pPr>
        <w:pStyle w:val="Heading2"/>
        <w:numPr>
          <w:ilvl w:val="1"/>
          <w:numId w:val="20"/>
        </w:numPr>
        <w:ind w:hanging="792"/>
        <w:rPr>
          <w:rFonts w:eastAsia="Times New Roman"/>
          <w:lang w:val="en-US"/>
        </w:rPr>
      </w:pPr>
      <w:r>
        <w:rPr>
          <w:rFonts w:eastAsia="Times New Roman"/>
          <w:lang w:val="en-US"/>
        </w:rPr>
        <w:t>Fast/Early RLF</w:t>
      </w:r>
    </w:p>
    <w:p w14:paraId="64397EE3" w14:textId="230440E7" w:rsidR="001E3471" w:rsidRDefault="001E3471" w:rsidP="006830DC">
      <w:r>
        <w:t>In RAN2#115-e</w:t>
      </w:r>
      <w:r w:rsidR="00783166">
        <w:t>, it was agreed to use a shorter T310 timer</w:t>
      </w:r>
      <w:r w:rsidR="00D75205">
        <w:t xml:space="preserve">. As it is known, fast RLF in LTE was designed for handover in </w:t>
      </w:r>
      <w:proofErr w:type="spellStart"/>
      <w:r w:rsidR="00D75205">
        <w:t>Hetnet</w:t>
      </w:r>
      <w:proofErr w:type="spellEnd"/>
      <w:r w:rsidR="00D75205">
        <w:t xml:space="preserve"> scenario. C</w:t>
      </w:r>
      <w:r w:rsidR="00D75205" w:rsidRPr="00C373CF">
        <w:t xml:space="preserve">onsidering that measurement reporting is not supported in NB-IoT, adaptations are needed to trigger </w:t>
      </w:r>
      <w:r w:rsidR="00F12B0F">
        <w:t xml:space="preserve">a shorter T310 timer </w:t>
      </w:r>
      <w:r w:rsidR="00D75205" w:rsidRPr="00C373CF">
        <w:t xml:space="preserve">properly compared to </w:t>
      </w:r>
      <w:r w:rsidR="00D75205" w:rsidRPr="00C373CF">
        <w:rPr>
          <w:lang w:eastAsia="zh-CN"/>
        </w:rPr>
        <w:t>fast</w:t>
      </w:r>
      <w:r w:rsidR="00D75205" w:rsidRPr="00C373CF">
        <w:t xml:space="preserve"> RLF for </w:t>
      </w:r>
      <w:proofErr w:type="spellStart"/>
      <w:r w:rsidR="00D75205" w:rsidRPr="00C373CF">
        <w:t>HetNet</w:t>
      </w:r>
      <w:proofErr w:type="spellEnd"/>
      <w:r w:rsidR="00D75205">
        <w:t xml:space="preserve">. </w:t>
      </w:r>
    </w:p>
    <w:p w14:paraId="228E8B48" w14:textId="406D8FCD" w:rsidR="00D75205" w:rsidRPr="004430BF" w:rsidRDefault="00D75205" w:rsidP="004430BF">
      <w:pPr>
        <w:pStyle w:val="Caption"/>
        <w:ind w:left="1728" w:hanging="1728"/>
        <w:rPr>
          <w:rFonts w:ascii="Arial" w:hAnsi="Arial" w:cs="Arial"/>
        </w:rPr>
      </w:pPr>
      <w:bookmarkStart w:id="6" w:name="_Ref75794681"/>
      <w:bookmarkStart w:id="7" w:name="_Ref83634196"/>
      <w:r w:rsidRPr="00D26B3C">
        <w:rPr>
          <w:rFonts w:ascii="Arial" w:hAnsi="Arial" w:cs="Arial"/>
        </w:rPr>
        <w:lastRenderedPageBreak/>
        <w:t xml:space="preserve">Observation </w:t>
      </w:r>
      <w:r w:rsidRPr="00D26B3C">
        <w:rPr>
          <w:rFonts w:ascii="Arial" w:hAnsi="Arial" w:cs="Arial"/>
        </w:rPr>
        <w:fldChar w:fldCharType="begin"/>
      </w:r>
      <w:r w:rsidRPr="00D26B3C">
        <w:rPr>
          <w:rFonts w:ascii="Arial" w:hAnsi="Arial" w:cs="Arial"/>
        </w:rPr>
        <w:instrText xml:space="preserve"> SEQ Observation \* ARABIC </w:instrText>
      </w:r>
      <w:r w:rsidRPr="00D26B3C">
        <w:rPr>
          <w:rFonts w:ascii="Arial" w:hAnsi="Arial" w:cs="Arial"/>
        </w:rPr>
        <w:fldChar w:fldCharType="separate"/>
      </w:r>
      <w:r w:rsidR="002D1CA3">
        <w:rPr>
          <w:rFonts w:ascii="Arial" w:hAnsi="Arial" w:cs="Arial"/>
          <w:noProof/>
        </w:rPr>
        <w:t>1</w:t>
      </w:r>
      <w:r w:rsidRPr="00D26B3C">
        <w:rPr>
          <w:rFonts w:ascii="Arial" w:hAnsi="Arial" w:cs="Arial"/>
        </w:rPr>
        <w:fldChar w:fldCharType="end"/>
      </w:r>
      <w:r w:rsidRPr="00D26B3C">
        <w:rPr>
          <w:rFonts w:ascii="Arial" w:hAnsi="Arial" w:cs="Arial"/>
        </w:rPr>
        <w:tab/>
      </w:r>
      <w:r w:rsidRPr="00E134DF">
        <w:rPr>
          <w:rFonts w:ascii="Arial" w:hAnsi="Arial" w:cs="Arial"/>
        </w:rPr>
        <w:t xml:space="preserve">Fast RLF was introduced for </w:t>
      </w:r>
      <w:proofErr w:type="spellStart"/>
      <w:r w:rsidRPr="00E134DF">
        <w:rPr>
          <w:rFonts w:ascii="Arial" w:hAnsi="Arial" w:cs="Arial"/>
        </w:rPr>
        <w:t>HetNet</w:t>
      </w:r>
      <w:proofErr w:type="spellEnd"/>
      <w:r w:rsidRPr="00E134DF">
        <w:rPr>
          <w:rFonts w:ascii="Arial" w:hAnsi="Arial" w:cs="Arial"/>
        </w:rPr>
        <w:t xml:space="preserve"> scenario.</w:t>
      </w:r>
      <w:bookmarkEnd w:id="6"/>
      <w:r w:rsidRPr="00E134DF">
        <w:rPr>
          <w:rFonts w:ascii="Arial" w:hAnsi="Arial" w:cs="Arial"/>
        </w:rPr>
        <w:t xml:space="preserve"> Fast RLF needs a variety of adaptions for NB-IoT.</w:t>
      </w:r>
      <w:bookmarkEnd w:id="7"/>
    </w:p>
    <w:p w14:paraId="6706E08F" w14:textId="03DEFE28" w:rsidR="002F59E4" w:rsidRPr="00684B51" w:rsidRDefault="003728B6" w:rsidP="006830DC">
      <w:pPr>
        <w:rPr>
          <w:lang w:val="en-US"/>
        </w:rPr>
      </w:pPr>
      <w:r>
        <w:t xml:space="preserve">Here is how we think fast RLF which was designed for </w:t>
      </w:r>
      <w:proofErr w:type="spellStart"/>
      <w:r>
        <w:t>HetNet</w:t>
      </w:r>
      <w:proofErr w:type="spellEnd"/>
      <w:r>
        <w:t xml:space="preserve"> will be adapted to NB-Io</w:t>
      </w:r>
      <w:r>
        <w:rPr>
          <w:lang w:val="en-US" w:eastAsia="zh-CN"/>
        </w:rPr>
        <w:t xml:space="preserve">T case: </w:t>
      </w:r>
    </w:p>
    <w:p w14:paraId="56E877D6" w14:textId="7065C23E" w:rsidR="002F59E4" w:rsidRDefault="00391C3E" w:rsidP="00054D83">
      <w:r>
        <w:rPr>
          <w:rFonts w:eastAsia="Times New Roman"/>
          <w:noProof/>
          <w:lang w:eastAsia="en-US"/>
        </w:rPr>
        <mc:AlternateContent>
          <mc:Choice Requires="wps">
            <w:drawing>
              <wp:anchor distT="0" distB="0" distL="114300" distR="114300" simplePos="0" relativeHeight="251675648" behindDoc="0" locked="0" layoutInCell="1" allowOverlap="1" wp14:anchorId="1978E75D" wp14:editId="2567653C">
                <wp:simplePos x="0" y="0"/>
                <wp:positionH relativeFrom="column">
                  <wp:posOffset>2878243</wp:posOffset>
                </wp:positionH>
                <wp:positionV relativeFrom="paragraph">
                  <wp:posOffset>537209</wp:posOffset>
                </wp:positionV>
                <wp:extent cx="347134" cy="736388"/>
                <wp:effectExtent l="0" t="0" r="0" b="6985"/>
                <wp:wrapNone/>
                <wp:docPr id="21" name="Text Box 21"/>
                <wp:cNvGraphicFramePr/>
                <a:graphic xmlns:a="http://schemas.openxmlformats.org/drawingml/2006/main">
                  <a:graphicData uri="http://schemas.microsoft.com/office/word/2010/wordprocessingShape">
                    <wps:wsp>
                      <wps:cNvSpPr txBox="1"/>
                      <wps:spPr>
                        <a:xfrm rot="10800000" flipH="1">
                          <a:off x="0" y="0"/>
                          <a:ext cx="347134" cy="736388"/>
                        </a:xfrm>
                        <a:prstGeom prst="rect">
                          <a:avLst/>
                        </a:prstGeom>
                        <a:solidFill>
                          <a:schemeClr val="lt1"/>
                        </a:solidFill>
                        <a:ln w="6350">
                          <a:noFill/>
                        </a:ln>
                      </wps:spPr>
                      <wps:txbx>
                        <w:txbxContent>
                          <w:p w14:paraId="41B4FC9F" w14:textId="1CF5D1C2" w:rsidR="00391C3E" w:rsidRPr="00391C3E" w:rsidRDefault="00391C3E" w:rsidP="00391C3E">
                            <w:pPr>
                              <w:rPr>
                                <w:color w:val="ED7D31" w:themeColor="accent2"/>
                                <w:sz w:val="18"/>
                                <w:szCs w:val="18"/>
                              </w:rPr>
                            </w:pPr>
                            <w:r w:rsidRPr="00391C3E">
                              <w:rPr>
                                <w:color w:val="ED7D31" w:themeColor="accent2"/>
                                <w:sz w:val="18"/>
                                <w:szCs w:val="18"/>
                              </w:rPr>
                              <w:t>Declare RLF</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78E75D" id="_x0000_t202" coordsize="21600,21600" o:spt="202" path="m,l,21600r21600,l21600,xe">
                <v:stroke joinstyle="miter"/>
                <v:path gradientshapeok="t" o:connecttype="rect"/>
              </v:shapetype>
              <v:shape id="Text Box 21" o:spid="_x0000_s1026" type="#_x0000_t202" style="position:absolute;margin-left:226.65pt;margin-top:42.3pt;width:27.35pt;height:58pt;rotation:18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" fillcolor="white [3201]" stroked="f" strokeweight=".5pt">
                <v:textbox style="layout-flow:vertical-ideographic">
                  <w:txbxContent>
                    <w:p w14:paraId="41B4FC9F" w14:textId="1CF5D1C2" w:rsidR="00391C3E" w:rsidRPr="00391C3E" w:rsidRDefault="00391C3E" w:rsidP="00391C3E">
                      <w:pPr>
                        <w:rPr>
                          <w:color w:val="ED7D31" w:themeColor="accent2"/>
                          <w:sz w:val="18"/>
                          <w:szCs w:val="18"/>
                        </w:rPr>
                      </w:pPr>
                      <w:r w:rsidRPr="00391C3E">
                        <w:rPr>
                          <w:color w:val="ED7D31" w:themeColor="accent2"/>
                          <w:sz w:val="18"/>
                          <w:szCs w:val="18"/>
                        </w:rPr>
                        <w:t>Declare RLF</w:t>
                      </w:r>
                    </w:p>
                  </w:txbxContent>
                </v:textbox>
              </v:shape>
            </w:pict>
          </mc:Fallback>
        </mc:AlternateContent>
      </w:r>
      <w:r>
        <w:rPr>
          <w:rFonts w:eastAsia="Times New Roman"/>
          <w:noProof/>
          <w:lang w:eastAsia="en-US"/>
        </w:rPr>
        <mc:AlternateContent>
          <mc:Choice Requires="wps">
            <w:drawing>
              <wp:anchor distT="0" distB="0" distL="114300" distR="114300" simplePos="0" relativeHeight="251673600" behindDoc="0" locked="0" layoutInCell="1" allowOverlap="1" wp14:anchorId="45A7DC60" wp14:editId="24A85D3F">
                <wp:simplePos x="0" y="0"/>
                <wp:positionH relativeFrom="column">
                  <wp:posOffset>3038475</wp:posOffset>
                </wp:positionH>
                <wp:positionV relativeFrom="paragraph">
                  <wp:posOffset>1032510</wp:posOffset>
                </wp:positionV>
                <wp:extent cx="0" cy="457200"/>
                <wp:effectExtent l="76200" t="0" r="57150" b="57150"/>
                <wp:wrapNone/>
                <wp:docPr id="20" name="Straight Arrow Connector 20"/>
                <wp:cNvGraphicFramePr/>
                <a:graphic xmlns:a="http://schemas.openxmlformats.org/drawingml/2006/main">
                  <a:graphicData uri="http://schemas.microsoft.com/office/word/2010/wordprocessingShape">
                    <wps:wsp>
                      <wps:cNvCnPr/>
                      <wps:spPr>
                        <a:xfrm>
                          <a:off x="0" y="0"/>
                          <a:ext cx="0" cy="45720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509144" id="_x0000_t32" coordsize="21600,21600" o:spt="32" o:oned="t" path="m,l21600,21600e" filled="f">
                <v:path arrowok="t" fillok="f" o:connecttype="none"/>
                <o:lock v:ext="edit" shapetype="t"/>
              </v:shapetype>
              <v:shape id="Straight Arrow Connector 20" o:spid="_x0000_s1026" type="#_x0000_t32" style="position:absolute;margin-left:239.25pt;margin-top:81.3pt;width:0;height:36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" strokecolor="#ed7d31 [3205]" strokeweight=".5pt">
                <v:stroke endarrow="block" joinstyle="miter"/>
              </v:shape>
            </w:pict>
          </mc:Fallback>
        </mc:AlternateContent>
      </w:r>
      <w:r>
        <w:rPr>
          <w:rFonts w:eastAsia="Times New Roman"/>
          <w:noProof/>
          <w:lang w:eastAsia="en-US"/>
        </w:rPr>
        <mc:AlternateContent>
          <mc:Choice Requires="wps">
            <w:drawing>
              <wp:anchor distT="0" distB="0" distL="114300" distR="114300" simplePos="0" relativeHeight="251656189" behindDoc="0" locked="0" layoutInCell="1" allowOverlap="1" wp14:anchorId="55449612" wp14:editId="3FC04C49">
                <wp:simplePos x="0" y="0"/>
                <wp:positionH relativeFrom="column">
                  <wp:posOffset>2467610</wp:posOffset>
                </wp:positionH>
                <wp:positionV relativeFrom="paragraph">
                  <wp:posOffset>2052743</wp:posOffset>
                </wp:positionV>
                <wp:extent cx="914400" cy="237067"/>
                <wp:effectExtent l="0" t="0" r="0" b="0"/>
                <wp:wrapNone/>
                <wp:docPr id="19" name="Text Box 19"/>
                <wp:cNvGraphicFramePr/>
                <a:graphic xmlns:a="http://schemas.openxmlformats.org/drawingml/2006/main">
                  <a:graphicData uri="http://schemas.microsoft.com/office/word/2010/wordprocessingShape">
                    <wps:wsp>
                      <wps:cNvSpPr txBox="1"/>
                      <wps:spPr>
                        <a:xfrm>
                          <a:off x="0" y="0"/>
                          <a:ext cx="914400" cy="237067"/>
                        </a:xfrm>
                        <a:prstGeom prst="rect">
                          <a:avLst/>
                        </a:prstGeom>
                        <a:solidFill>
                          <a:schemeClr val="lt1"/>
                        </a:solidFill>
                        <a:ln w="6350">
                          <a:noFill/>
                        </a:ln>
                      </wps:spPr>
                      <wps:txbx>
                        <w:txbxContent>
                          <w:p w14:paraId="141CDCC8" w14:textId="1BE94D60" w:rsidR="00391C3E" w:rsidRPr="00391C3E" w:rsidRDefault="00391C3E">
                            <w:pPr>
                              <w:rPr>
                                <w:color w:val="ED7D31" w:themeColor="accent2"/>
                              </w:rPr>
                            </w:pPr>
                            <w:r w:rsidRPr="00391C3E">
                              <w:rPr>
                                <w:color w:val="ED7D31" w:themeColor="accent2"/>
                              </w:rPr>
                              <w:t>T312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5449612" id="Text Box 19" o:spid="_x0000_s1027" type="#_x0000_t202" style="position:absolute;margin-left:194.3pt;margin-top:161.65pt;width:1in;height:18.65pt;z-index:25165618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" fillcolor="white [3201]" stroked="f" strokeweight=".5pt">
                <v:textbox>
                  <w:txbxContent>
                    <w:p w14:paraId="141CDCC8" w14:textId="1BE94D60" w:rsidR="00391C3E" w:rsidRPr="00391C3E" w:rsidRDefault="00391C3E">
                      <w:pPr>
                        <w:rPr>
                          <w:color w:val="ED7D31" w:themeColor="accent2"/>
                        </w:rPr>
                      </w:pPr>
                      <w:r w:rsidRPr="00391C3E">
                        <w:rPr>
                          <w:color w:val="ED7D31" w:themeColor="accent2"/>
                        </w:rPr>
                        <w:t>T312</w:t>
                      </w:r>
                    </w:p>
                  </w:txbxContent>
                </v:textbox>
              </v:shape>
            </w:pict>
          </mc:Fallback>
        </mc:AlternateContent>
      </w:r>
      <w:r>
        <w:rPr>
          <w:rFonts w:eastAsia="Times New Roman"/>
          <w:noProof/>
          <w:lang w:eastAsia="en-US"/>
        </w:rPr>
        <mc:AlternateContent>
          <mc:Choice Requires="wps">
            <w:drawing>
              <wp:anchor distT="0" distB="0" distL="114300" distR="114300" simplePos="0" relativeHeight="251671552" behindDoc="0" locked="0" layoutInCell="1" allowOverlap="1" wp14:anchorId="5F24A54F" wp14:editId="5C2F24A5">
                <wp:simplePos x="0" y="0"/>
                <wp:positionH relativeFrom="column">
                  <wp:posOffset>3038687</wp:posOffset>
                </wp:positionH>
                <wp:positionV relativeFrom="paragraph">
                  <wp:posOffset>1489710</wp:posOffset>
                </wp:positionV>
                <wp:extent cx="0" cy="571712"/>
                <wp:effectExtent l="76200" t="38100" r="57150" b="19050"/>
                <wp:wrapNone/>
                <wp:docPr id="18" name="Straight Arrow Connector 18"/>
                <wp:cNvGraphicFramePr/>
                <a:graphic xmlns:a="http://schemas.openxmlformats.org/drawingml/2006/main">
                  <a:graphicData uri="http://schemas.microsoft.com/office/word/2010/wordprocessingShape">
                    <wps:wsp>
                      <wps:cNvCnPr/>
                      <wps:spPr>
                        <a:xfrm flipV="1">
                          <a:off x="0" y="0"/>
                          <a:ext cx="0" cy="571712"/>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A1499FB" id="Straight Arrow Connector 18" o:spid="_x0000_s1026" type="#_x0000_t32" style="position:absolute;margin-left:239.25pt;margin-top:117.3pt;width:0;height:4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" strokecolor="#ed7d31 [3205]" strokeweight=".5pt">
                <v:stroke endarrow="block" joinstyle="miter"/>
              </v:shape>
            </w:pict>
          </mc:Fallback>
        </mc:AlternateContent>
      </w:r>
      <w:r>
        <w:rPr>
          <w:rFonts w:eastAsia="Times New Roman"/>
          <w:noProof/>
          <w:lang w:eastAsia="en-US"/>
        </w:rPr>
        <mc:AlternateContent>
          <mc:Choice Requires="wps">
            <w:drawing>
              <wp:anchor distT="0" distB="0" distL="114300" distR="114300" simplePos="0" relativeHeight="251670528" behindDoc="0" locked="0" layoutInCell="1" allowOverlap="1" wp14:anchorId="5340C96D" wp14:editId="127B9009">
                <wp:simplePos x="0" y="0"/>
                <wp:positionH relativeFrom="column">
                  <wp:posOffset>2361777</wp:posOffset>
                </wp:positionH>
                <wp:positionV relativeFrom="paragraph">
                  <wp:posOffset>2061422</wp:posOffset>
                </wp:positionV>
                <wp:extent cx="677333"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677333"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CB4A050" id="Straight Connector 1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5.95pt,162.3pt" to="239.3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" strokecolor="#ed7d31 [3205]" strokeweight=".5pt">
                <v:stroke joinstyle="miter"/>
              </v:line>
            </w:pict>
          </mc:Fallback>
        </mc:AlternateContent>
      </w:r>
      <w:r>
        <w:rPr>
          <w:rFonts w:eastAsia="Times New Roman"/>
          <w:noProof/>
          <w:lang w:eastAsia="en-US"/>
        </w:rPr>
        <mc:AlternateContent>
          <mc:Choice Requires="wps">
            <w:drawing>
              <wp:anchor distT="0" distB="0" distL="114300" distR="114300" simplePos="0" relativeHeight="251669504" behindDoc="0" locked="0" layoutInCell="1" allowOverlap="1" wp14:anchorId="1B823E1E" wp14:editId="777D14CB">
                <wp:simplePos x="0" y="0"/>
                <wp:positionH relativeFrom="column">
                  <wp:posOffset>2361777</wp:posOffset>
                </wp:positionH>
                <wp:positionV relativeFrom="paragraph">
                  <wp:posOffset>1675765</wp:posOffset>
                </wp:positionV>
                <wp:extent cx="0" cy="385445"/>
                <wp:effectExtent l="0" t="0" r="38100" b="33655"/>
                <wp:wrapNone/>
                <wp:docPr id="16" name="Straight Connector 16"/>
                <wp:cNvGraphicFramePr/>
                <a:graphic xmlns:a="http://schemas.openxmlformats.org/drawingml/2006/main">
                  <a:graphicData uri="http://schemas.microsoft.com/office/word/2010/wordprocessingShape">
                    <wps:wsp>
                      <wps:cNvCnPr/>
                      <wps:spPr>
                        <a:xfrm>
                          <a:off x="0" y="0"/>
                          <a:ext cx="0" cy="38544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2A15D07" id="Straight Connector 1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85.95pt,131.95pt" to="185.95pt,1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" strokecolor="#ed7d31 [3205]" strokeweight=".5pt">
                <v:stroke joinstyle="miter"/>
              </v:line>
            </w:pict>
          </mc:Fallback>
        </mc:AlternateContent>
      </w:r>
      <w:r>
        <w:rPr>
          <w:rFonts w:eastAsia="Times New Roman"/>
          <w:noProof/>
          <w:lang w:eastAsia="en-US"/>
        </w:rPr>
        <mc:AlternateContent>
          <mc:Choice Requires="wps">
            <w:drawing>
              <wp:anchor distT="0" distB="0" distL="114300" distR="114300" simplePos="0" relativeHeight="251668480" behindDoc="0" locked="0" layoutInCell="1" allowOverlap="1" wp14:anchorId="6C33128E" wp14:editId="2EF0CD56">
                <wp:simplePos x="0" y="0"/>
                <wp:positionH relativeFrom="column">
                  <wp:posOffset>2361565</wp:posOffset>
                </wp:positionH>
                <wp:positionV relativeFrom="paragraph">
                  <wp:posOffset>1489922</wp:posOffset>
                </wp:positionV>
                <wp:extent cx="0" cy="186267"/>
                <wp:effectExtent l="0" t="0" r="38100" b="23495"/>
                <wp:wrapNone/>
                <wp:docPr id="13" name="Straight Connector 13"/>
                <wp:cNvGraphicFramePr/>
                <a:graphic xmlns:a="http://schemas.openxmlformats.org/drawingml/2006/main">
                  <a:graphicData uri="http://schemas.microsoft.com/office/word/2010/wordprocessingShape">
                    <wps:wsp>
                      <wps:cNvCnPr/>
                      <wps:spPr>
                        <a:xfrm>
                          <a:off x="0" y="0"/>
                          <a:ext cx="0" cy="18626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CEDF85" id="Straight Connector 1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95pt,117.3pt" to="185.95pt,1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" strokecolor="#4472c4 [3204]" strokeweight=".5pt">
                <v:stroke joinstyle="miter"/>
              </v:line>
            </w:pict>
          </mc:Fallback>
        </mc:AlternateContent>
      </w:r>
      <w:r>
        <w:rPr>
          <w:rFonts w:eastAsia="Times New Roman"/>
          <w:noProof/>
          <w:lang w:eastAsia="en-US"/>
        </w:rPr>
        <mc:AlternateContent>
          <mc:Choice Requires="wps">
            <w:drawing>
              <wp:anchor distT="0" distB="0" distL="114300" distR="114300" simplePos="0" relativeHeight="251666432" behindDoc="0" locked="0" layoutInCell="1" allowOverlap="1" wp14:anchorId="328CEF9A" wp14:editId="703684E9">
                <wp:simplePos x="0" y="0"/>
                <wp:positionH relativeFrom="column">
                  <wp:posOffset>2200909</wp:posOffset>
                </wp:positionH>
                <wp:positionV relativeFrom="paragraph">
                  <wp:posOffset>-42758</wp:posOffset>
                </wp:positionV>
                <wp:extent cx="469901" cy="1214967"/>
                <wp:effectExtent l="0" t="0" r="6350" b="4445"/>
                <wp:wrapNone/>
                <wp:docPr id="10" name="Text Box 10"/>
                <wp:cNvGraphicFramePr/>
                <a:graphic xmlns:a="http://schemas.openxmlformats.org/drawingml/2006/main">
                  <a:graphicData uri="http://schemas.microsoft.com/office/word/2010/wordprocessingShape">
                    <wps:wsp>
                      <wps:cNvSpPr txBox="1"/>
                      <wps:spPr>
                        <a:xfrm rot="10800000" flipH="1">
                          <a:off x="0" y="0"/>
                          <a:ext cx="469901" cy="1214967"/>
                        </a:xfrm>
                        <a:prstGeom prst="rect">
                          <a:avLst/>
                        </a:prstGeom>
                        <a:solidFill>
                          <a:schemeClr val="lt1"/>
                        </a:solidFill>
                        <a:ln w="6350">
                          <a:noFill/>
                        </a:ln>
                      </wps:spPr>
                      <wps:txbx>
                        <w:txbxContent>
                          <w:p w14:paraId="79763BD9" w14:textId="1E244779" w:rsidR="00962BFE" w:rsidRPr="00962BFE" w:rsidRDefault="00962BFE" w:rsidP="00962BFE">
                            <w:pPr>
                              <w:rPr>
                                <w:color w:val="4472C4" w:themeColor="accent1"/>
                                <w:sz w:val="18"/>
                                <w:szCs w:val="18"/>
                              </w:rPr>
                            </w:pPr>
                            <w:r>
                              <w:rPr>
                                <w:color w:val="4472C4" w:themeColor="accent1"/>
                                <w:sz w:val="18"/>
                                <w:szCs w:val="18"/>
                              </w:rPr>
                              <w:t>Proper neighbor cell found</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CEF9A" id="Text Box 10" o:spid="_x0000_s1028" type="#_x0000_t202" style="position:absolute;margin-left:173.3pt;margin-top:-3.35pt;width:37pt;height:95.65pt;rotation:18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" fillcolor="white [3201]" stroked="f" strokeweight=".5pt">
                <v:textbox style="layout-flow:vertical-ideographic">
                  <w:txbxContent>
                    <w:p w14:paraId="79763BD9" w14:textId="1E244779" w:rsidR="00962BFE" w:rsidRPr="00962BFE" w:rsidRDefault="00962BFE" w:rsidP="00962BFE">
                      <w:pPr>
                        <w:rPr>
                          <w:color w:val="4472C4" w:themeColor="accent1"/>
                          <w:sz w:val="18"/>
                          <w:szCs w:val="18"/>
                        </w:rPr>
                      </w:pPr>
                      <w:r>
                        <w:rPr>
                          <w:color w:val="4472C4" w:themeColor="accent1"/>
                          <w:sz w:val="18"/>
                          <w:szCs w:val="18"/>
                        </w:rPr>
                        <w:t>Proper neighbor cell found</w:t>
                      </w:r>
                    </w:p>
                  </w:txbxContent>
                </v:textbox>
              </v:shape>
            </w:pict>
          </mc:Fallback>
        </mc:AlternateContent>
      </w:r>
      <w:r>
        <w:rPr>
          <w:rFonts w:eastAsia="Times New Roman"/>
          <w:noProof/>
          <w:lang w:eastAsia="en-US"/>
        </w:rPr>
        <mc:AlternateContent>
          <mc:Choice Requires="wps">
            <w:drawing>
              <wp:anchor distT="0" distB="0" distL="114300" distR="114300" simplePos="0" relativeHeight="251664384" behindDoc="0" locked="0" layoutInCell="1" allowOverlap="1" wp14:anchorId="37FDACBE" wp14:editId="5BE96561">
                <wp:simplePos x="0" y="0"/>
                <wp:positionH relativeFrom="column">
                  <wp:posOffset>2361565</wp:posOffset>
                </wp:positionH>
                <wp:positionV relativeFrom="paragraph">
                  <wp:posOffset>1032510</wp:posOffset>
                </wp:positionV>
                <wp:extent cx="0" cy="457200"/>
                <wp:effectExtent l="76200" t="0" r="57150" b="57150"/>
                <wp:wrapNone/>
                <wp:docPr id="9" name="Straight Arrow Connector 9"/>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6372EC" id="Straight Arrow Connector 9" o:spid="_x0000_s1026" type="#_x0000_t32" style="position:absolute;margin-left:185.95pt;margin-top:81.3pt;width:0;height:36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" strokecolor="#4472c4 [3204]" strokeweight=".5pt">
                <v:stroke endarrow="block" joinstyle="miter"/>
              </v:shape>
            </w:pict>
          </mc:Fallback>
        </mc:AlternateContent>
      </w:r>
      <w:r>
        <w:rPr>
          <w:rFonts w:eastAsia="Times New Roman"/>
          <w:noProof/>
          <w:lang w:eastAsia="en-US"/>
        </w:rPr>
        <mc:AlternateContent>
          <mc:Choice Requires="wps">
            <w:drawing>
              <wp:anchor distT="0" distB="0" distL="114300" distR="114300" simplePos="0" relativeHeight="251662336" behindDoc="0" locked="0" layoutInCell="1" allowOverlap="1" wp14:anchorId="473173ED" wp14:editId="5DD306B8">
                <wp:simplePos x="0" y="0"/>
                <wp:positionH relativeFrom="column">
                  <wp:posOffset>2361565</wp:posOffset>
                </wp:positionH>
                <wp:positionV relativeFrom="paragraph">
                  <wp:posOffset>1489922</wp:posOffset>
                </wp:positionV>
                <wp:extent cx="0" cy="186267"/>
                <wp:effectExtent l="76200" t="38100" r="57150" b="23495"/>
                <wp:wrapNone/>
                <wp:docPr id="8" name="Straight Arrow Connector 8"/>
                <wp:cNvGraphicFramePr/>
                <a:graphic xmlns:a="http://schemas.openxmlformats.org/drawingml/2006/main">
                  <a:graphicData uri="http://schemas.microsoft.com/office/word/2010/wordprocessingShape">
                    <wps:wsp>
                      <wps:cNvCnPr/>
                      <wps:spPr>
                        <a:xfrm flipV="1">
                          <a:off x="0" y="0"/>
                          <a:ext cx="0" cy="18626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D2A061" id="Straight Arrow Connector 8" o:spid="_x0000_s1026" type="#_x0000_t32" style="position:absolute;margin-left:185.95pt;margin-top:117.3pt;width:0;height:14.6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" strokecolor="#4472c4 [3204]" strokeweight=".5pt">
                <v:stroke endarrow="block" joinstyle="miter"/>
              </v:shape>
            </w:pict>
          </mc:Fallback>
        </mc:AlternateContent>
      </w:r>
      <w:r>
        <w:rPr>
          <w:rFonts w:eastAsia="Times New Roman"/>
          <w:noProof/>
          <w:lang w:eastAsia="en-US"/>
        </w:rPr>
        <mc:AlternateContent>
          <mc:Choice Requires="wps">
            <w:drawing>
              <wp:anchor distT="0" distB="0" distL="114300" distR="114300" simplePos="0" relativeHeight="251661312" behindDoc="0" locked="0" layoutInCell="1" allowOverlap="1" wp14:anchorId="008115A3" wp14:editId="42BB4E00">
                <wp:simplePos x="0" y="0"/>
                <wp:positionH relativeFrom="column">
                  <wp:posOffset>1053677</wp:posOffset>
                </wp:positionH>
                <wp:positionV relativeFrom="paragraph">
                  <wp:posOffset>1675977</wp:posOffset>
                </wp:positionV>
                <wp:extent cx="13081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308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4151D6"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95pt,131.95pt" to="185.95pt,1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" strokecolor="#4472c4 [3204]" strokeweight=".5pt">
                <v:stroke joinstyle="miter"/>
              </v:line>
            </w:pict>
          </mc:Fallback>
        </mc:AlternateContent>
      </w:r>
      <w:r>
        <w:rPr>
          <w:rFonts w:eastAsia="Times New Roman"/>
          <w:noProof/>
          <w:lang w:eastAsia="en-US"/>
        </w:rPr>
        <mc:AlternateContent>
          <mc:Choice Requires="wps">
            <w:drawing>
              <wp:anchor distT="0" distB="0" distL="114300" distR="114300" simplePos="0" relativeHeight="251658239" behindDoc="0" locked="0" layoutInCell="1" allowOverlap="1" wp14:anchorId="78748EAB" wp14:editId="43B4A7D0">
                <wp:simplePos x="0" y="0"/>
                <wp:positionH relativeFrom="column">
                  <wp:posOffset>786977</wp:posOffset>
                </wp:positionH>
                <wp:positionV relativeFrom="paragraph">
                  <wp:posOffset>-424</wp:posOffset>
                </wp:positionV>
                <wp:extent cx="572135" cy="1172421"/>
                <wp:effectExtent l="0" t="0" r="0" b="8890"/>
                <wp:wrapNone/>
                <wp:docPr id="2" name="Text Box 2"/>
                <wp:cNvGraphicFramePr/>
                <a:graphic xmlns:a="http://schemas.openxmlformats.org/drawingml/2006/main">
                  <a:graphicData uri="http://schemas.microsoft.com/office/word/2010/wordprocessingShape">
                    <wps:wsp>
                      <wps:cNvSpPr txBox="1"/>
                      <wps:spPr>
                        <a:xfrm rot="10800000" flipH="1">
                          <a:off x="0" y="0"/>
                          <a:ext cx="572135" cy="1172421"/>
                        </a:xfrm>
                        <a:prstGeom prst="rect">
                          <a:avLst/>
                        </a:prstGeom>
                        <a:solidFill>
                          <a:schemeClr val="lt1"/>
                        </a:solidFill>
                        <a:ln w="6350">
                          <a:noFill/>
                        </a:ln>
                      </wps:spPr>
                      <wps:txbx>
                        <w:txbxContent>
                          <w:p w14:paraId="17716CDD" w14:textId="0371FA97" w:rsidR="00962BFE" w:rsidRPr="00391C3E" w:rsidRDefault="00962BFE">
                            <w:pPr>
                              <w:rPr>
                                <w:color w:val="4472C4" w:themeColor="accent1"/>
                                <w:sz w:val="18"/>
                                <w:szCs w:val="18"/>
                              </w:rPr>
                            </w:pPr>
                            <w:r w:rsidRPr="00391C3E">
                              <w:rPr>
                                <w:color w:val="4472C4" w:themeColor="accent1"/>
                                <w:sz w:val="18"/>
                                <w:szCs w:val="18"/>
                              </w:rPr>
                              <w:t xml:space="preserve">criteria to start measurement is fulfilled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48EAB" id="Text Box 2" o:spid="_x0000_s1029" type="#_x0000_t202" style="position:absolute;margin-left:61.95pt;margin-top:-.05pt;width:45.05pt;height:92.3pt;rotation:180;flip:x;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" fillcolor="white [3201]" stroked="f" strokeweight=".5pt">
                <v:textbox style="layout-flow:vertical-ideographic">
                  <w:txbxContent>
                    <w:p w14:paraId="17716CDD" w14:textId="0371FA97" w:rsidR="00962BFE" w:rsidRPr="00391C3E" w:rsidRDefault="00962BFE">
                      <w:pPr>
                        <w:rPr>
                          <w:color w:val="4472C4" w:themeColor="accent1"/>
                          <w:sz w:val="18"/>
                          <w:szCs w:val="18"/>
                        </w:rPr>
                      </w:pPr>
                      <w:r w:rsidRPr="00391C3E">
                        <w:rPr>
                          <w:color w:val="4472C4" w:themeColor="accent1"/>
                          <w:sz w:val="18"/>
                          <w:szCs w:val="18"/>
                        </w:rPr>
                        <w:t xml:space="preserve">criteria to start measurement is fulfilled </w:t>
                      </w:r>
                    </w:p>
                  </w:txbxContent>
                </v:textbox>
              </v:shape>
            </w:pict>
          </mc:Fallback>
        </mc:AlternateContent>
      </w:r>
      <w:r>
        <w:rPr>
          <w:rFonts w:eastAsia="Times New Roman"/>
          <w:noProof/>
          <w:lang w:eastAsia="en-US"/>
        </w:rPr>
        <mc:AlternateContent>
          <mc:Choice Requires="wps">
            <w:drawing>
              <wp:anchor distT="0" distB="0" distL="114300" distR="114300" simplePos="0" relativeHeight="251657214" behindDoc="1" locked="0" layoutInCell="1" allowOverlap="1" wp14:anchorId="3B6C304F" wp14:editId="4652EFAC">
                <wp:simplePos x="0" y="0"/>
                <wp:positionH relativeFrom="column">
                  <wp:posOffset>1049020</wp:posOffset>
                </wp:positionH>
                <wp:positionV relativeFrom="paragraph">
                  <wp:posOffset>1586865</wp:posOffset>
                </wp:positionV>
                <wp:extent cx="1722966" cy="241300"/>
                <wp:effectExtent l="0" t="0" r="0" b="6350"/>
                <wp:wrapNone/>
                <wp:docPr id="12" name="Text Box 12"/>
                <wp:cNvGraphicFramePr/>
                <a:graphic xmlns:a="http://schemas.openxmlformats.org/drawingml/2006/main">
                  <a:graphicData uri="http://schemas.microsoft.com/office/word/2010/wordprocessingShape">
                    <wps:wsp>
                      <wps:cNvSpPr txBox="1"/>
                      <wps:spPr>
                        <a:xfrm>
                          <a:off x="0" y="0"/>
                          <a:ext cx="1722966" cy="241300"/>
                        </a:xfrm>
                        <a:prstGeom prst="rect">
                          <a:avLst/>
                        </a:prstGeom>
                        <a:solidFill>
                          <a:schemeClr val="lt1"/>
                        </a:solidFill>
                        <a:ln w="6350">
                          <a:noFill/>
                        </a:ln>
                      </wps:spPr>
                      <wps:txbx>
                        <w:txbxContent>
                          <w:p w14:paraId="75029B25" w14:textId="7C135EF6" w:rsidR="00391C3E" w:rsidRPr="00391C3E" w:rsidRDefault="00391C3E">
                            <w:pPr>
                              <w:rPr>
                                <w:color w:val="4472C4" w:themeColor="accent1"/>
                                <w:sz w:val="18"/>
                                <w:szCs w:val="18"/>
                              </w:rPr>
                            </w:pPr>
                            <w:r w:rsidRPr="00391C3E">
                              <w:rPr>
                                <w:color w:val="4472C4" w:themeColor="accent1"/>
                                <w:sz w:val="18"/>
                                <w:szCs w:val="18"/>
                              </w:rPr>
                              <w:t>Connected mode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C304F" id="Text Box 12" o:spid="_x0000_s1030" type="#_x0000_t202" style="position:absolute;margin-left:82.6pt;margin-top:124.95pt;width:135.65pt;height:19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" fillcolor="white [3201]" stroked="f" strokeweight=".5pt">
                <v:textbox>
                  <w:txbxContent>
                    <w:p w14:paraId="75029B25" w14:textId="7C135EF6" w:rsidR="00391C3E" w:rsidRPr="00391C3E" w:rsidRDefault="00391C3E">
                      <w:pPr>
                        <w:rPr>
                          <w:color w:val="4472C4" w:themeColor="accent1"/>
                          <w:sz w:val="18"/>
                          <w:szCs w:val="18"/>
                        </w:rPr>
                      </w:pPr>
                      <w:r w:rsidRPr="00391C3E">
                        <w:rPr>
                          <w:color w:val="4472C4" w:themeColor="accent1"/>
                          <w:sz w:val="18"/>
                          <w:szCs w:val="18"/>
                        </w:rPr>
                        <w:t>Connected mode measurement</w:t>
                      </w:r>
                    </w:p>
                  </w:txbxContent>
                </v:textbox>
              </v:shape>
            </w:pict>
          </mc:Fallback>
        </mc:AlternateContent>
      </w:r>
      <w:r w:rsidR="00962BFE">
        <w:rPr>
          <w:rFonts w:eastAsia="Times New Roman"/>
          <w:noProof/>
          <w:lang w:eastAsia="en-US"/>
        </w:rPr>
        <mc:AlternateContent>
          <mc:Choice Requires="wps">
            <w:drawing>
              <wp:anchor distT="0" distB="0" distL="114300" distR="114300" simplePos="0" relativeHeight="251660288" behindDoc="0" locked="0" layoutInCell="1" allowOverlap="1" wp14:anchorId="03C53968" wp14:editId="4FFA546F">
                <wp:simplePos x="0" y="0"/>
                <wp:positionH relativeFrom="column">
                  <wp:posOffset>1053677</wp:posOffset>
                </wp:positionH>
                <wp:positionV relativeFrom="paragraph">
                  <wp:posOffset>1489710</wp:posOffset>
                </wp:positionV>
                <wp:extent cx="0" cy="186267"/>
                <wp:effectExtent l="0" t="0" r="38100" b="23495"/>
                <wp:wrapNone/>
                <wp:docPr id="6" name="Straight Connector 6"/>
                <wp:cNvGraphicFramePr/>
                <a:graphic xmlns:a="http://schemas.openxmlformats.org/drawingml/2006/main">
                  <a:graphicData uri="http://schemas.microsoft.com/office/word/2010/wordprocessingShape">
                    <wps:wsp>
                      <wps:cNvCnPr/>
                      <wps:spPr>
                        <a:xfrm>
                          <a:off x="0" y="0"/>
                          <a:ext cx="0" cy="18626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79C93"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95pt,117.3pt" to="82.95pt,1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" strokecolor="#4472c4 [3204]" strokeweight=".5pt">
                <v:stroke joinstyle="miter"/>
              </v:line>
            </w:pict>
          </mc:Fallback>
        </mc:AlternateContent>
      </w:r>
      <w:r w:rsidR="00962BFE">
        <w:rPr>
          <w:rFonts w:eastAsia="Times New Roman"/>
          <w:noProof/>
          <w:lang w:eastAsia="en-US"/>
        </w:rPr>
        <mc:AlternateContent>
          <mc:Choice Requires="wps">
            <w:drawing>
              <wp:anchor distT="0" distB="0" distL="114300" distR="114300" simplePos="0" relativeHeight="251659264" behindDoc="0" locked="0" layoutInCell="1" allowOverlap="1" wp14:anchorId="7C36146B" wp14:editId="30116CAB">
                <wp:simplePos x="0" y="0"/>
                <wp:positionH relativeFrom="column">
                  <wp:posOffset>1053677</wp:posOffset>
                </wp:positionH>
                <wp:positionV relativeFrom="paragraph">
                  <wp:posOffset>1033780</wp:posOffset>
                </wp:positionV>
                <wp:extent cx="0" cy="457200"/>
                <wp:effectExtent l="76200" t="0" r="57150" b="57150"/>
                <wp:wrapNone/>
                <wp:docPr id="1" name="Straight Arrow Connector 1"/>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DE5FFD" id="Straight Arrow Connector 1" o:spid="_x0000_s1026" type="#_x0000_t32" style="position:absolute;margin-left:82.95pt;margin-top:81.4pt;width:0;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" strokecolor="#4472c4 [3204]" strokeweight=".5pt">
                <v:stroke endarrow="block" joinstyle="miter"/>
              </v:shape>
            </w:pict>
          </mc:Fallback>
        </mc:AlternateContent>
      </w:r>
      <w:r w:rsidR="002F59E4">
        <w:rPr>
          <w:rFonts w:eastAsia="Times New Roman"/>
          <w:lang w:eastAsia="en-US"/>
        </w:rPr>
        <w:object w:dxaOrig="9650" w:dyaOrig="3880" w14:anchorId="73BCD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3.6pt" o:ole="">
            <v:imagedata r:id="rId11" o:title=""/>
          </v:shape>
          <o:OLEObject Type="Embed" ProgID="Visio.Drawing.11" ShapeID="_x0000_i1025" DrawAspect="Content" ObjectID="_1696351664" r:id="rId12"/>
        </w:object>
      </w:r>
    </w:p>
    <w:p w14:paraId="2DCB34E1" w14:textId="77777777" w:rsidR="00C373CF" w:rsidRDefault="00C373CF" w:rsidP="00054D83"/>
    <w:p w14:paraId="12093D44" w14:textId="77777777" w:rsidR="00C373CF" w:rsidRPr="00C373CF" w:rsidRDefault="00C373CF" w:rsidP="00C373CF">
      <w:pPr>
        <w:textAlignment w:val="auto"/>
      </w:pPr>
      <w:r w:rsidRPr="00C373CF">
        <w:t>Here, T312 represents a short T310 timer as in LTE. Triggering conditions to start T312 can be based on:</w:t>
      </w:r>
    </w:p>
    <w:p w14:paraId="07801DD1" w14:textId="77777777" w:rsidR="00C373CF" w:rsidRPr="00C373CF" w:rsidRDefault="00C373CF" w:rsidP="00C373CF">
      <w:pPr>
        <w:numPr>
          <w:ilvl w:val="0"/>
          <w:numId w:val="28"/>
        </w:numPr>
        <w:spacing w:after="0"/>
        <w:textAlignment w:val="auto"/>
        <w:rPr>
          <w:rFonts w:eastAsia="Calibri" w:cs="Calibri"/>
          <w:lang w:val="x-none" w:eastAsia="en-US"/>
        </w:rPr>
      </w:pPr>
      <w:r w:rsidRPr="00C373CF">
        <w:rPr>
          <w:rFonts w:eastAsia="Calibri" w:cs="Calibri"/>
          <w:lang w:val="en-US" w:eastAsia="en-US"/>
        </w:rPr>
        <w:t>Proper neighbor cell is found</w:t>
      </w:r>
    </w:p>
    <w:p w14:paraId="4487F5D2" w14:textId="1B954140" w:rsidR="00C373CF" w:rsidRDefault="00C373CF" w:rsidP="00C373CF">
      <w:pPr>
        <w:numPr>
          <w:ilvl w:val="0"/>
          <w:numId w:val="28"/>
        </w:numPr>
        <w:spacing w:after="0"/>
        <w:textAlignment w:val="auto"/>
        <w:rPr>
          <w:rFonts w:eastAsia="Calibri" w:cs="Calibri"/>
          <w:lang w:val="x-none" w:eastAsia="en-US"/>
        </w:rPr>
      </w:pPr>
      <w:r w:rsidRPr="00C373CF">
        <w:rPr>
          <w:rFonts w:eastAsia="Calibri" w:cs="Calibri"/>
          <w:lang w:val="en-US" w:eastAsia="en-US"/>
        </w:rPr>
        <w:t>T310 is running</w:t>
      </w:r>
      <w:r w:rsidR="00F63E9A">
        <w:rPr>
          <w:rFonts w:eastAsia="Calibri" w:cs="Calibri"/>
          <w:lang w:val="en-US" w:eastAsia="en-US"/>
        </w:rPr>
        <w:t xml:space="preserve"> or T310 is not triggered</w:t>
      </w:r>
    </w:p>
    <w:p w14:paraId="62B2AF3C" w14:textId="77777777" w:rsidR="00F63E9A" w:rsidRPr="00F63E9A" w:rsidRDefault="00F63E9A" w:rsidP="00F63E9A">
      <w:pPr>
        <w:spacing w:after="0"/>
        <w:ind w:left="720"/>
        <w:textAlignment w:val="auto"/>
        <w:rPr>
          <w:rFonts w:eastAsia="Calibri" w:cs="Calibri"/>
          <w:lang w:val="x-none" w:eastAsia="en-US"/>
        </w:rPr>
      </w:pPr>
    </w:p>
    <w:p w14:paraId="3E4F5693" w14:textId="77777777" w:rsidR="00F63E9A" w:rsidRPr="00C373CF" w:rsidRDefault="00F63E9A" w:rsidP="00F63E9A">
      <w:pPr>
        <w:textAlignment w:val="auto"/>
        <w:rPr>
          <w:lang w:eastAsia="zh-CN"/>
        </w:rPr>
      </w:pPr>
      <w:r w:rsidRPr="00C373CF">
        <w:rPr>
          <w:lang w:eastAsia="zh-CN"/>
        </w:rPr>
        <w:t xml:space="preserve">When T312 triggering condition is fulfilled, UE can choose to start a T312 to save time for RRC </w:t>
      </w:r>
      <w:r w:rsidRPr="00C373CF">
        <w:t xml:space="preserve">reestablishment. Thus, new timer which is shorter than T310 should be introduced. </w:t>
      </w:r>
      <w:r w:rsidRPr="00C373CF">
        <w:rPr>
          <w:lang w:eastAsia="zh-CN"/>
        </w:rPr>
        <w:t>To make best usage of T312, UE should better start the timer only when there is enough</w:t>
      </w:r>
      <w:r w:rsidRPr="00C373CF">
        <w:t xml:space="preserve"> predicted time reduction to RRC reestablishment</w:t>
      </w:r>
      <w:r w:rsidRPr="00C373CF">
        <w:rPr>
          <w:lang w:eastAsia="zh-CN"/>
        </w:rPr>
        <w:t>. Therefore, triggering condition to start T312 can also consider timing perspective, for example:</w:t>
      </w:r>
    </w:p>
    <w:p w14:paraId="04B91714" w14:textId="77777777" w:rsidR="00F63E9A" w:rsidRPr="00C373CF" w:rsidRDefault="00F63E9A" w:rsidP="00F63E9A">
      <w:pPr>
        <w:numPr>
          <w:ilvl w:val="0"/>
          <w:numId w:val="28"/>
        </w:numPr>
        <w:spacing w:after="0"/>
        <w:textAlignment w:val="auto"/>
        <w:rPr>
          <w:rFonts w:eastAsia="Calibri" w:cs="Calibri"/>
          <w:lang w:val="x-none" w:eastAsia="en-US"/>
        </w:rPr>
      </w:pPr>
      <w:r w:rsidRPr="00C373CF">
        <w:rPr>
          <w:rFonts w:eastAsia="Calibri" w:cs="Calibri"/>
          <w:lang w:val="en-US" w:eastAsia="en-US"/>
        </w:rPr>
        <w:t>The time difference between T310 remaining time and T312 is higher than a threshold</w:t>
      </w:r>
    </w:p>
    <w:p w14:paraId="398BABEC" w14:textId="77777777" w:rsidR="00F63E9A" w:rsidRPr="00F63E9A" w:rsidRDefault="00F63E9A" w:rsidP="00C373CF">
      <w:pPr>
        <w:textAlignment w:val="auto"/>
        <w:rPr>
          <w:lang w:val="x-none"/>
        </w:rPr>
      </w:pPr>
    </w:p>
    <w:p w14:paraId="137CC0B3" w14:textId="2C516EC7" w:rsidR="00C34200" w:rsidRDefault="00C373CF" w:rsidP="00C373CF">
      <w:pPr>
        <w:textAlignment w:val="auto"/>
      </w:pPr>
      <w:r w:rsidRPr="00C373CF">
        <w:t xml:space="preserve">Regarding the impact on the reduction of RLF recovery, T312 should be configured smartly, T312 should cover at least the time </w:t>
      </w:r>
      <w:r w:rsidR="00C34200">
        <w:t xml:space="preserve">longer than </w:t>
      </w:r>
      <w:r w:rsidRPr="00C373CF">
        <w:t>N311 multiplied by Q</w:t>
      </w:r>
      <w:r w:rsidRPr="00C373CF">
        <w:rPr>
          <w:vertAlign w:val="subscript"/>
        </w:rPr>
        <w:t>in</w:t>
      </w:r>
      <w:r w:rsidRPr="00C373CF">
        <w:t xml:space="preserve"> evaluation period. Thus, T312 should be UE dedicated based on the UE dedicated configuration of T310, N311, DRX, etc. </w:t>
      </w:r>
    </w:p>
    <w:p w14:paraId="71AD93E2" w14:textId="7809C634" w:rsidR="00D273B4" w:rsidRPr="003D6E06" w:rsidRDefault="00F63E9A" w:rsidP="003D6E06">
      <w:pPr>
        <w:pStyle w:val="Caption"/>
        <w:ind w:left="1728" w:hanging="1728"/>
        <w:rPr>
          <w:rFonts w:ascii="Arial" w:hAnsi="Arial" w:cs="Arial"/>
        </w:rPr>
      </w:pPr>
      <w:bookmarkStart w:id="8" w:name="_Ref83654847"/>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2D1CA3">
        <w:rPr>
          <w:rFonts w:ascii="Arial" w:hAnsi="Arial" w:cs="Arial"/>
          <w:noProof/>
        </w:rPr>
        <w:t>4</w:t>
      </w:r>
      <w:r w:rsidRPr="00D26B3C">
        <w:rPr>
          <w:rFonts w:ascii="Arial" w:hAnsi="Arial" w:cs="Arial"/>
        </w:rPr>
        <w:fldChar w:fldCharType="end"/>
      </w:r>
      <w:r w:rsidRPr="00FB5AB8">
        <w:rPr>
          <w:rFonts w:ascii="Arial" w:hAnsi="Arial" w:cs="Arial"/>
        </w:rPr>
        <w:tab/>
      </w:r>
      <w:r>
        <w:rPr>
          <w:rFonts w:ascii="Arial" w:hAnsi="Arial" w:cs="Arial" w:hint="eastAsia"/>
          <w:lang w:eastAsia="zh-CN"/>
        </w:rPr>
        <w:t>Short</w:t>
      </w:r>
      <w:r>
        <w:rPr>
          <w:rFonts w:ascii="Arial" w:hAnsi="Arial" w:cs="Arial"/>
        </w:rPr>
        <w:t>er T310 time</w:t>
      </w:r>
      <w:r w:rsidR="00D273B4">
        <w:rPr>
          <w:rFonts w:ascii="Arial" w:hAnsi="Arial" w:cs="Arial"/>
        </w:rPr>
        <w:t>r</w:t>
      </w:r>
      <w:r>
        <w:rPr>
          <w:rFonts w:ascii="Arial" w:hAnsi="Arial" w:cs="Arial"/>
        </w:rPr>
        <w:t xml:space="preserve"> should be </w:t>
      </w:r>
      <w:r w:rsidR="006D6C52">
        <w:rPr>
          <w:rFonts w:ascii="Arial" w:hAnsi="Arial" w:cs="Arial"/>
        </w:rPr>
        <w:t xml:space="preserve">configured by </w:t>
      </w:r>
      <w:r>
        <w:rPr>
          <w:rFonts w:ascii="Arial" w:hAnsi="Arial" w:cs="Arial"/>
        </w:rPr>
        <w:t>UE dedicated</w:t>
      </w:r>
      <w:r w:rsidR="006D6C52">
        <w:rPr>
          <w:rFonts w:ascii="Arial" w:hAnsi="Arial" w:cs="Arial"/>
        </w:rPr>
        <w:t xml:space="preserve"> signalling</w:t>
      </w:r>
      <w:r>
        <w:rPr>
          <w:rFonts w:ascii="Arial" w:hAnsi="Arial" w:cs="Arial"/>
        </w:rPr>
        <w:t>.</w:t>
      </w:r>
      <w:bookmarkEnd w:id="8"/>
    </w:p>
    <w:p w14:paraId="2EEE5407" w14:textId="194B1D3E" w:rsidR="00C373CF" w:rsidRPr="00C373CF" w:rsidRDefault="00C373CF" w:rsidP="00C373CF">
      <w:pPr>
        <w:textAlignment w:val="auto"/>
      </w:pPr>
      <w:r w:rsidRPr="00C373CF">
        <w:t xml:space="preserve">To further decrease the impact on the reduction of RLF recovery, </w:t>
      </w:r>
      <w:r w:rsidR="00F63E9A">
        <w:t xml:space="preserve">on one hand, </w:t>
      </w:r>
      <w:r w:rsidRPr="00C373CF">
        <w:t>triggering condition to start T312 can also consider serving channel quality, for example:</w:t>
      </w:r>
    </w:p>
    <w:p w14:paraId="081A691D" w14:textId="77777777" w:rsidR="00C373CF" w:rsidRPr="00C373CF" w:rsidRDefault="00C373CF" w:rsidP="00C373CF">
      <w:pPr>
        <w:numPr>
          <w:ilvl w:val="0"/>
          <w:numId w:val="28"/>
        </w:numPr>
        <w:spacing w:after="0"/>
        <w:textAlignment w:val="auto"/>
        <w:rPr>
          <w:rFonts w:eastAsia="Calibri" w:cs="Calibri"/>
          <w:lang w:val="en-US" w:eastAsia="en-US"/>
        </w:rPr>
      </w:pPr>
      <w:r w:rsidRPr="00C373CF">
        <w:rPr>
          <w:rFonts w:eastAsia="Calibri" w:cs="Calibri"/>
          <w:lang w:val="en-US" w:eastAsia="en-US"/>
        </w:rPr>
        <w:t>Serving cell quality is below a threshold for a duration</w:t>
      </w:r>
    </w:p>
    <w:p w14:paraId="783F2578" w14:textId="7C6879DA" w:rsidR="00C373CF" w:rsidRDefault="00F63E9A" w:rsidP="00C373CF">
      <w:pPr>
        <w:textAlignment w:val="auto"/>
      </w:pPr>
      <w:r>
        <w:t xml:space="preserve">Of course, the serving cell quality condition above can be combinedly considered with the criteria for starting the measurement including a serving cell NRSRP </w:t>
      </w:r>
      <w:r w:rsidRPr="005D774E">
        <w:t>threshold</w:t>
      </w:r>
      <w:r>
        <w:t xml:space="preserve"> and the variance part.</w:t>
      </w:r>
    </w:p>
    <w:p w14:paraId="38BA453C" w14:textId="0604F22B" w:rsidR="00D273B4" w:rsidRDefault="00F63E9A" w:rsidP="00C373CF">
      <w:pPr>
        <w:textAlignment w:val="auto"/>
      </w:pPr>
      <w:r>
        <w:t xml:space="preserve">On the other hand, </w:t>
      </w:r>
      <w:r w:rsidR="0046627F">
        <w:t xml:space="preserve">to minimize the impact on the reduction of RLF recovery, </w:t>
      </w:r>
      <w:r w:rsidR="00D273B4">
        <w:t xml:space="preserve">when T312 expires, </w:t>
      </w:r>
      <w:r w:rsidR="0046627F">
        <w:t xml:space="preserve">RLF </w:t>
      </w:r>
      <w:r w:rsidR="00D273B4">
        <w:t xml:space="preserve">can be declared and RRC </w:t>
      </w:r>
      <w:r w:rsidR="00D273B4" w:rsidRPr="00D273B4">
        <w:t>re-establishment</w:t>
      </w:r>
      <w:r w:rsidR="00D273B4">
        <w:t xml:space="preserve"> procedure can be initiated only if T310 is running. </w:t>
      </w:r>
    </w:p>
    <w:p w14:paraId="5282C922" w14:textId="5DBBBDC5" w:rsidR="00684B51" w:rsidRDefault="006B1C12" w:rsidP="003675ED">
      <w:pPr>
        <w:pStyle w:val="Caption"/>
        <w:ind w:left="1728" w:hanging="1728"/>
        <w:rPr>
          <w:rFonts w:ascii="Arial" w:hAnsi="Arial" w:cs="Arial"/>
        </w:rPr>
      </w:pPr>
      <w:bookmarkStart w:id="9" w:name="_Ref77344925"/>
      <w:bookmarkStart w:id="10" w:name="_Ref83654851"/>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2D1CA3">
        <w:rPr>
          <w:rFonts w:ascii="Arial" w:hAnsi="Arial" w:cs="Arial"/>
          <w:noProof/>
        </w:rPr>
        <w:t>5</w:t>
      </w:r>
      <w:r w:rsidRPr="00D26B3C">
        <w:rPr>
          <w:rFonts w:ascii="Arial" w:hAnsi="Arial" w:cs="Arial"/>
        </w:rPr>
        <w:fldChar w:fldCharType="end"/>
      </w:r>
      <w:r w:rsidRPr="00FB5AB8">
        <w:rPr>
          <w:rFonts w:ascii="Arial" w:hAnsi="Arial" w:cs="Arial"/>
        </w:rPr>
        <w:tab/>
      </w:r>
      <w:r w:rsidR="00D273B4">
        <w:rPr>
          <w:rFonts w:ascii="Arial" w:hAnsi="Arial" w:cs="Arial"/>
        </w:rPr>
        <w:t>Shorter T310 timer should start based on the following conditions</w:t>
      </w:r>
      <w:bookmarkEnd w:id="9"/>
      <w:r w:rsidR="00D273B4">
        <w:rPr>
          <w:rFonts w:ascii="Arial" w:hAnsi="Arial" w:cs="Arial"/>
        </w:rPr>
        <w:t>:</w:t>
      </w:r>
      <w:bookmarkEnd w:id="10"/>
    </w:p>
    <w:p w14:paraId="6664B89D" w14:textId="0FC4EE37" w:rsidR="00D273B4" w:rsidRPr="002D7682" w:rsidRDefault="00D273B4" w:rsidP="00893CC1">
      <w:pPr>
        <w:numPr>
          <w:ilvl w:val="0"/>
          <w:numId w:val="31"/>
        </w:numPr>
        <w:spacing w:after="100" w:afterAutospacing="1"/>
        <w:ind w:left="1714" w:hanging="274"/>
        <w:textAlignment w:val="auto"/>
        <w:rPr>
          <w:rFonts w:ascii="Arial" w:hAnsi="Arial" w:cs="Arial"/>
          <w:b/>
          <w:lang w:eastAsia="en-GB"/>
        </w:rPr>
      </w:pPr>
      <w:r w:rsidRPr="006A5CE2">
        <w:rPr>
          <w:rFonts w:ascii="Arial" w:hAnsi="Arial" w:cs="Arial"/>
          <w:b/>
          <w:lang w:eastAsia="en-GB"/>
        </w:rPr>
        <w:t>neighbor cell is found</w:t>
      </w:r>
    </w:p>
    <w:p w14:paraId="67C54D35" w14:textId="013AE6CF" w:rsidR="00D273B4" w:rsidRPr="006A5CE2" w:rsidRDefault="00D273B4" w:rsidP="00893CC1">
      <w:pPr>
        <w:numPr>
          <w:ilvl w:val="0"/>
          <w:numId w:val="31"/>
        </w:numPr>
        <w:spacing w:after="100" w:afterAutospacing="1"/>
        <w:ind w:left="1714" w:hanging="274"/>
        <w:textAlignment w:val="auto"/>
        <w:rPr>
          <w:rFonts w:ascii="Arial" w:hAnsi="Arial" w:cs="Arial"/>
          <w:b/>
          <w:lang w:eastAsia="en-GB"/>
        </w:rPr>
      </w:pPr>
      <w:r w:rsidRPr="006A5CE2">
        <w:rPr>
          <w:rFonts w:ascii="Arial" w:hAnsi="Arial" w:cs="Arial"/>
          <w:b/>
          <w:lang w:eastAsia="en-GB"/>
        </w:rPr>
        <w:t>The time difference between T310 remaining time and T312 is higher than a threshold</w:t>
      </w:r>
      <w:r w:rsidR="002D7682">
        <w:rPr>
          <w:rFonts w:ascii="Arial" w:hAnsi="Arial" w:cs="Arial"/>
          <w:b/>
          <w:lang w:eastAsia="en-GB"/>
        </w:rPr>
        <w:t xml:space="preserve"> or T310 is not triggered</w:t>
      </w:r>
    </w:p>
    <w:p w14:paraId="438AFE79" w14:textId="62356BB4" w:rsidR="00D273B4" w:rsidRPr="00893CC1" w:rsidRDefault="00D273B4" w:rsidP="00D273B4">
      <w:pPr>
        <w:pStyle w:val="ListParagraph"/>
        <w:numPr>
          <w:ilvl w:val="0"/>
          <w:numId w:val="31"/>
        </w:numPr>
        <w:spacing w:after="100" w:afterAutospacing="1"/>
        <w:ind w:left="1714" w:hanging="274"/>
        <w:rPr>
          <w:rFonts w:ascii="Arial" w:eastAsia="SimSun" w:hAnsi="Arial" w:cs="Arial"/>
          <w:b/>
          <w:sz w:val="20"/>
          <w:szCs w:val="20"/>
          <w:lang w:val="en-GB" w:eastAsia="en-GB"/>
        </w:rPr>
      </w:pPr>
      <w:r w:rsidRPr="006A5CE2">
        <w:rPr>
          <w:rFonts w:ascii="Arial" w:eastAsia="SimSun" w:hAnsi="Arial" w:cs="Arial"/>
          <w:b/>
          <w:sz w:val="20"/>
          <w:szCs w:val="20"/>
          <w:lang w:val="en-GB" w:eastAsia="en-GB"/>
        </w:rPr>
        <w:t>(</w:t>
      </w:r>
      <w:r w:rsidR="006A5CE2" w:rsidRPr="006A5CE2">
        <w:rPr>
          <w:rFonts w:ascii="Arial" w:eastAsia="SimSun" w:hAnsi="Arial" w:cs="Arial"/>
          <w:b/>
          <w:sz w:val="20"/>
          <w:szCs w:val="20"/>
          <w:lang w:val="en-GB" w:eastAsia="en-GB"/>
        </w:rPr>
        <w:t>optional</w:t>
      </w:r>
      <w:r w:rsidRPr="006A5CE2">
        <w:rPr>
          <w:rFonts w:ascii="Arial" w:eastAsia="SimSun" w:hAnsi="Arial" w:cs="Arial"/>
          <w:b/>
          <w:sz w:val="20"/>
          <w:szCs w:val="20"/>
          <w:lang w:val="en-GB" w:eastAsia="en-GB"/>
        </w:rPr>
        <w:t>)</w:t>
      </w:r>
      <w:r w:rsidR="006A5CE2" w:rsidRPr="006A5CE2">
        <w:rPr>
          <w:rFonts w:ascii="Arial" w:eastAsia="SimSun" w:hAnsi="Arial" w:cs="Arial"/>
          <w:b/>
          <w:sz w:val="20"/>
          <w:szCs w:val="20"/>
          <w:lang w:val="en-GB" w:eastAsia="en-GB"/>
        </w:rPr>
        <w:t xml:space="preserve"> </w:t>
      </w:r>
      <w:r w:rsidRPr="006A5CE2">
        <w:rPr>
          <w:rFonts w:ascii="Arial" w:eastAsia="SimSun" w:hAnsi="Arial" w:cs="Arial"/>
          <w:b/>
          <w:sz w:val="20"/>
          <w:szCs w:val="20"/>
          <w:lang w:val="en-GB" w:eastAsia="en-GB"/>
        </w:rPr>
        <w:t>Serving cell quality</w:t>
      </w:r>
      <w:r w:rsidR="006A5CE2" w:rsidRPr="006A5CE2">
        <w:rPr>
          <w:rFonts w:ascii="Arial" w:eastAsia="SimSun" w:hAnsi="Arial" w:cs="Arial"/>
          <w:b/>
          <w:sz w:val="20"/>
          <w:szCs w:val="20"/>
          <w:lang w:val="en-GB" w:eastAsia="en-GB"/>
        </w:rPr>
        <w:t xml:space="preserve"> condition</w:t>
      </w:r>
    </w:p>
    <w:p w14:paraId="70702658" w14:textId="2290D9D7" w:rsidR="00D273B4" w:rsidRDefault="00030687" w:rsidP="003D6E06">
      <w:pPr>
        <w:pStyle w:val="Caption"/>
        <w:ind w:left="1728" w:hanging="1728"/>
        <w:rPr>
          <w:rFonts w:ascii="Arial" w:hAnsi="Arial" w:cs="Arial"/>
        </w:rPr>
      </w:pPr>
      <w:bookmarkStart w:id="11" w:name="_Ref83654859"/>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2D1CA3">
        <w:rPr>
          <w:rFonts w:ascii="Arial" w:hAnsi="Arial" w:cs="Arial"/>
          <w:noProof/>
        </w:rPr>
        <w:t>6</w:t>
      </w:r>
      <w:r w:rsidRPr="00D26B3C">
        <w:rPr>
          <w:rFonts w:ascii="Arial" w:hAnsi="Arial" w:cs="Arial"/>
        </w:rPr>
        <w:fldChar w:fldCharType="end"/>
      </w:r>
      <w:r w:rsidRPr="00FB5AB8">
        <w:rPr>
          <w:rFonts w:ascii="Arial" w:hAnsi="Arial" w:cs="Arial"/>
        </w:rPr>
        <w:tab/>
      </w:r>
      <w:r>
        <w:rPr>
          <w:rFonts w:ascii="Arial" w:hAnsi="Arial" w:cs="Arial"/>
        </w:rPr>
        <w:t xml:space="preserve">RLF can be declared at expire of </w:t>
      </w:r>
      <w:r w:rsidR="00197AB3">
        <w:rPr>
          <w:rFonts w:ascii="Arial" w:hAnsi="Arial" w:cs="Arial"/>
        </w:rPr>
        <w:t xml:space="preserve">the new </w:t>
      </w:r>
      <w:r>
        <w:rPr>
          <w:rFonts w:ascii="Arial" w:hAnsi="Arial" w:cs="Arial"/>
        </w:rPr>
        <w:t xml:space="preserve">shorter T310 timer, only when </w:t>
      </w:r>
      <w:r w:rsidR="00197AB3">
        <w:rPr>
          <w:rFonts w:ascii="Arial" w:hAnsi="Arial" w:cs="Arial"/>
        </w:rPr>
        <w:t xml:space="preserve">legacy </w:t>
      </w:r>
      <w:r>
        <w:rPr>
          <w:rFonts w:ascii="Arial" w:hAnsi="Arial" w:cs="Arial"/>
        </w:rPr>
        <w:t>T310 is running.</w:t>
      </w:r>
      <w:bookmarkEnd w:id="11"/>
    </w:p>
    <w:p w14:paraId="313006F4" w14:textId="77777777" w:rsidR="00A9011C" w:rsidRDefault="00A9011C" w:rsidP="00A9011C">
      <w:pPr>
        <w:rPr>
          <w:lang w:eastAsia="en-GB"/>
        </w:rPr>
      </w:pPr>
    </w:p>
    <w:p w14:paraId="2305A26E" w14:textId="3D389815" w:rsidR="00A9011C" w:rsidRDefault="00A9011C" w:rsidP="00A9011C">
      <w:pPr>
        <w:rPr>
          <w:lang w:eastAsia="en-GB"/>
        </w:rPr>
      </w:pPr>
      <w:r>
        <w:rPr>
          <w:lang w:eastAsia="en-GB"/>
        </w:rPr>
        <w:t xml:space="preserve">From UE implementation point of view, it is better to make the UE capability for shorter T310, i.e. fast RLF, optional. </w:t>
      </w:r>
    </w:p>
    <w:p w14:paraId="0CF77930" w14:textId="2F571819" w:rsidR="00A9011C" w:rsidRPr="00A9011C" w:rsidRDefault="00A9011C" w:rsidP="00A9011C">
      <w:pPr>
        <w:pStyle w:val="Caption"/>
        <w:ind w:left="1728" w:hanging="1728"/>
        <w:rPr>
          <w:rFonts w:ascii="Arial" w:hAnsi="Arial" w:cs="Arial"/>
        </w:rPr>
      </w:pPr>
      <w:bookmarkStart w:id="12" w:name="_Ref85619732"/>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Pr>
          <w:rFonts w:ascii="Arial" w:hAnsi="Arial" w:cs="Arial"/>
          <w:noProof/>
        </w:rPr>
        <w:t>7</w:t>
      </w:r>
      <w:r w:rsidRPr="00D26B3C">
        <w:rPr>
          <w:rFonts w:ascii="Arial" w:hAnsi="Arial" w:cs="Arial"/>
        </w:rPr>
        <w:fldChar w:fldCharType="end"/>
      </w:r>
      <w:r w:rsidRPr="00FB5AB8">
        <w:rPr>
          <w:rFonts w:ascii="Arial" w:hAnsi="Arial" w:cs="Arial"/>
        </w:rPr>
        <w:tab/>
      </w:r>
      <w:r>
        <w:rPr>
          <w:rFonts w:ascii="Arial" w:hAnsi="Arial" w:cs="Arial"/>
        </w:rPr>
        <w:t>Introduce UE capability for Fast RLF.</w:t>
      </w:r>
      <w:bookmarkEnd w:id="12"/>
    </w:p>
    <w:p w14:paraId="2AF39476" w14:textId="6B29E484" w:rsidR="00070049" w:rsidRPr="00CE0424" w:rsidRDefault="00070049" w:rsidP="009108CA">
      <w:pPr>
        <w:pStyle w:val="Heading1"/>
        <w:numPr>
          <w:ilvl w:val="0"/>
          <w:numId w:val="19"/>
        </w:numPr>
        <w:ind w:hanging="810"/>
      </w:pPr>
      <w:r w:rsidRPr="00CE0424">
        <w:t>Conclusion</w:t>
      </w:r>
    </w:p>
    <w:p w14:paraId="1F1C147B" w14:textId="77777777" w:rsidR="00401CA4" w:rsidRDefault="00401CA4" w:rsidP="00401CA4">
      <w:pPr>
        <w:pStyle w:val="BodyText"/>
        <w:rPr>
          <w:b/>
          <w:bCs/>
        </w:rPr>
      </w:pPr>
      <w:r>
        <w:t>In the previous sections we made the following observations:</w:t>
      </w:r>
      <w:r>
        <w:rPr>
          <w:b/>
          <w:bCs/>
        </w:rPr>
        <w:t xml:space="preserve"> </w:t>
      </w:r>
    </w:p>
    <w:p w14:paraId="5D6469BC" w14:textId="115C9FEB" w:rsidR="0015552E" w:rsidRPr="003B0152" w:rsidRDefault="005C3FE7" w:rsidP="0015552E">
      <w:pPr>
        <w:rPr>
          <w:b/>
          <w:bCs/>
          <w:lang w:eastAsia="zh-CN"/>
        </w:rPr>
      </w:pPr>
      <w:r w:rsidRPr="003B0152">
        <w:rPr>
          <w:b/>
          <w:bCs/>
          <w:lang w:eastAsia="zh-CN"/>
        </w:rPr>
        <w:fldChar w:fldCharType="begin"/>
      </w:r>
      <w:r w:rsidRPr="003B0152">
        <w:rPr>
          <w:b/>
          <w:bCs/>
          <w:lang w:eastAsia="zh-CN"/>
        </w:rPr>
        <w:instrText xml:space="preserve"> REF _Ref83634196 \h </w:instrText>
      </w:r>
      <w:r w:rsidR="003B0152">
        <w:rPr>
          <w:b/>
          <w:bCs/>
          <w:lang w:eastAsia="zh-CN"/>
        </w:rPr>
        <w:instrText xml:space="preserve"> \* MERGEFORMAT </w:instrText>
      </w:r>
      <w:r w:rsidRPr="003B0152">
        <w:rPr>
          <w:b/>
          <w:bCs/>
          <w:lang w:eastAsia="zh-CN"/>
        </w:rPr>
      </w:r>
      <w:r w:rsidRPr="003B0152">
        <w:rPr>
          <w:b/>
          <w:bCs/>
          <w:lang w:eastAsia="zh-CN"/>
        </w:rPr>
        <w:fldChar w:fldCharType="separate"/>
      </w:r>
      <w:r w:rsidR="002D1CA3" w:rsidRPr="002D1CA3">
        <w:rPr>
          <w:rFonts w:ascii="Arial" w:hAnsi="Arial" w:cs="Arial"/>
          <w:b/>
          <w:bCs/>
        </w:rPr>
        <w:t xml:space="preserve">Observation </w:t>
      </w:r>
      <w:r w:rsidR="002D1CA3" w:rsidRPr="002D1CA3">
        <w:rPr>
          <w:rFonts w:ascii="Arial" w:hAnsi="Arial" w:cs="Arial"/>
          <w:b/>
          <w:bCs/>
          <w:noProof/>
        </w:rPr>
        <w:t>1</w:t>
      </w:r>
      <w:r w:rsidR="002D1CA3" w:rsidRPr="002D1CA3">
        <w:rPr>
          <w:rFonts w:ascii="Arial" w:hAnsi="Arial" w:cs="Arial"/>
          <w:b/>
          <w:bCs/>
        </w:rPr>
        <w:tab/>
      </w:r>
      <w:r w:rsidR="002D1CA3" w:rsidRPr="002D1CA3">
        <w:rPr>
          <w:rFonts w:ascii="Arial" w:hAnsi="Arial" w:cs="Arial"/>
          <w:b/>
          <w:bCs/>
          <w:lang w:val="en-US"/>
        </w:rPr>
        <w:t xml:space="preserve">Fast RLF was introduced for </w:t>
      </w:r>
      <w:proofErr w:type="spellStart"/>
      <w:r w:rsidR="002D1CA3" w:rsidRPr="002D1CA3">
        <w:rPr>
          <w:rFonts w:ascii="Arial" w:hAnsi="Arial" w:cs="Arial"/>
          <w:b/>
          <w:bCs/>
          <w:lang w:val="en-US"/>
        </w:rPr>
        <w:t>HetNet</w:t>
      </w:r>
      <w:proofErr w:type="spellEnd"/>
      <w:r w:rsidR="002D1CA3" w:rsidRPr="002D1CA3">
        <w:rPr>
          <w:rFonts w:ascii="Arial" w:hAnsi="Arial" w:cs="Arial"/>
          <w:b/>
          <w:bCs/>
          <w:lang w:val="en-US"/>
        </w:rPr>
        <w:t xml:space="preserve"> scenario. Fast RLF needs a variety of adaptions for NB-IoT.</w:t>
      </w:r>
      <w:r w:rsidRPr="003B0152">
        <w:rPr>
          <w:b/>
          <w:bCs/>
          <w:lang w:eastAsia="zh-CN"/>
        </w:rPr>
        <w:fldChar w:fldCharType="end"/>
      </w:r>
    </w:p>
    <w:p w14:paraId="1DB0FDD0" w14:textId="77777777" w:rsidR="00684B51" w:rsidRPr="00684B51" w:rsidRDefault="00684B51" w:rsidP="00684B51">
      <w:pPr>
        <w:rPr>
          <w:lang w:eastAsia="zh-CN"/>
        </w:rPr>
      </w:pPr>
    </w:p>
    <w:p w14:paraId="31001E42" w14:textId="03332792" w:rsidR="00150327" w:rsidRDefault="008E065E" w:rsidP="00150327">
      <w:pPr>
        <w:pStyle w:val="BodyText"/>
      </w:pPr>
      <w:r w:rsidRPr="00CE0424">
        <w:t xml:space="preserve">Based on the discussion in </w:t>
      </w:r>
      <w:r w:rsidR="007729A2">
        <w:t xml:space="preserve">the previous </w:t>
      </w:r>
      <w:r w:rsidRPr="00CE0424">
        <w:t>section</w:t>
      </w:r>
      <w:r w:rsidR="007729A2">
        <w:t>s</w:t>
      </w:r>
      <w:r w:rsidR="003E56B7">
        <w:t>,</w:t>
      </w:r>
      <w:r w:rsidRPr="00CE0424">
        <w:t xml:space="preserve"> we propose the following:</w:t>
      </w:r>
    </w:p>
    <w:p w14:paraId="64E951E0" w14:textId="77E0F148" w:rsidR="00684B51" w:rsidRPr="00B46555" w:rsidRDefault="005C3FE7" w:rsidP="007C638C">
      <w:pPr>
        <w:pStyle w:val="BodyText"/>
        <w:ind w:left="1728" w:hanging="1728"/>
        <w:rPr>
          <w:rFonts w:cs="Arial"/>
          <w:b/>
          <w:bCs/>
          <w:lang w:val="en-US"/>
        </w:rPr>
      </w:pPr>
      <w:r w:rsidRPr="003B0152">
        <w:rPr>
          <w:rFonts w:cs="Arial"/>
          <w:b/>
          <w:bCs/>
        </w:rPr>
        <w:fldChar w:fldCharType="begin"/>
      </w:r>
      <w:r w:rsidRPr="003B0152">
        <w:rPr>
          <w:rFonts w:cs="Arial"/>
          <w:b/>
          <w:bCs/>
        </w:rPr>
        <w:instrText xml:space="preserve"> REF _Ref77150257 \h </w:instrText>
      </w:r>
      <w:r w:rsidR="003B0152" w:rsidRPr="003B0152">
        <w:rPr>
          <w:rFonts w:cs="Arial"/>
          <w:b/>
          <w:bCs/>
        </w:rPr>
        <w:instrText xml:space="preserve"> \* MERGEFORMAT </w:instrText>
      </w:r>
      <w:r w:rsidRPr="003B0152">
        <w:rPr>
          <w:rFonts w:cs="Arial"/>
          <w:b/>
          <w:bCs/>
        </w:rPr>
      </w:r>
      <w:r w:rsidRPr="003B0152">
        <w:rPr>
          <w:rFonts w:cs="Arial"/>
          <w:b/>
          <w:bCs/>
        </w:rPr>
        <w:fldChar w:fldCharType="separate"/>
      </w:r>
      <w:r w:rsidR="002D1CA3" w:rsidRPr="002D1CA3">
        <w:rPr>
          <w:rFonts w:cs="Arial"/>
          <w:b/>
          <w:bCs/>
        </w:rPr>
        <w:t xml:space="preserve">Proposal </w:t>
      </w:r>
      <w:r w:rsidR="002D1CA3" w:rsidRPr="002D1CA3">
        <w:rPr>
          <w:rFonts w:cs="Arial"/>
          <w:b/>
          <w:bCs/>
          <w:noProof/>
        </w:rPr>
        <w:t>1</w:t>
      </w:r>
      <w:r w:rsidR="002D1CA3" w:rsidRPr="002D1CA3">
        <w:rPr>
          <w:rFonts w:cs="Arial"/>
          <w:b/>
          <w:bCs/>
        </w:rPr>
        <w:tab/>
        <w:t>Serving cell quality threshold to start intra and inter frequency measurement should be configurated separately.</w:t>
      </w:r>
      <w:r w:rsidRPr="003B0152">
        <w:rPr>
          <w:rFonts w:cs="Arial"/>
          <w:b/>
          <w:bCs/>
        </w:rPr>
        <w:fldChar w:fldCharType="end"/>
      </w:r>
    </w:p>
    <w:p w14:paraId="691791E4" w14:textId="5A72D5B7" w:rsidR="005C3FE7" w:rsidRPr="003B0152" w:rsidRDefault="005C3FE7" w:rsidP="007C638C">
      <w:pPr>
        <w:pStyle w:val="BodyText"/>
        <w:ind w:left="1728" w:hanging="1728"/>
        <w:rPr>
          <w:rFonts w:cs="Arial"/>
          <w:b/>
          <w:bCs/>
        </w:rPr>
      </w:pPr>
      <w:r w:rsidRPr="003B0152">
        <w:rPr>
          <w:rFonts w:cs="Arial"/>
          <w:b/>
          <w:bCs/>
        </w:rPr>
        <w:fldChar w:fldCharType="begin"/>
      </w:r>
      <w:r w:rsidRPr="003B0152">
        <w:rPr>
          <w:rFonts w:cs="Arial"/>
          <w:b/>
          <w:bCs/>
        </w:rPr>
        <w:instrText xml:space="preserve"> REF _Ref83634225 \h </w:instrText>
      </w:r>
      <w:r w:rsidR="003B0152" w:rsidRPr="003B0152">
        <w:rPr>
          <w:rFonts w:cs="Arial"/>
          <w:b/>
          <w:bCs/>
        </w:rPr>
        <w:instrText xml:space="preserve"> \* MERGEFORMAT </w:instrText>
      </w:r>
      <w:r w:rsidRPr="003B0152">
        <w:rPr>
          <w:rFonts w:cs="Arial"/>
          <w:b/>
          <w:bCs/>
        </w:rPr>
      </w:r>
      <w:r w:rsidRPr="003B0152">
        <w:rPr>
          <w:rFonts w:cs="Arial"/>
          <w:b/>
          <w:bCs/>
        </w:rPr>
        <w:fldChar w:fldCharType="separate"/>
      </w:r>
      <w:r w:rsidR="002D1CA3" w:rsidRPr="002D1CA3">
        <w:rPr>
          <w:rFonts w:cs="Arial"/>
          <w:b/>
          <w:bCs/>
        </w:rPr>
        <w:t xml:space="preserve">Proposal </w:t>
      </w:r>
      <w:r w:rsidR="002D1CA3" w:rsidRPr="002D1CA3">
        <w:rPr>
          <w:rFonts w:cs="Arial"/>
          <w:b/>
          <w:bCs/>
          <w:noProof/>
        </w:rPr>
        <w:t>2</w:t>
      </w:r>
      <w:r w:rsidR="002D1CA3" w:rsidRPr="002D1CA3">
        <w:rPr>
          <w:rFonts w:cs="Arial"/>
          <w:b/>
          <w:bCs/>
        </w:rPr>
        <w:tab/>
        <w:t xml:space="preserve">Regarding the variance part of the criteria to start the measurements, legacy </w:t>
      </w:r>
      <w:proofErr w:type="spellStart"/>
      <w:r w:rsidR="002D1CA3" w:rsidRPr="002D1CA3">
        <w:rPr>
          <w:rFonts w:cs="Arial"/>
          <w:b/>
          <w:bCs/>
        </w:rPr>
        <w:t>SSearchDeltaP</w:t>
      </w:r>
      <w:proofErr w:type="spellEnd"/>
      <w:r w:rsidR="002D1CA3" w:rsidRPr="002D1CA3">
        <w:rPr>
          <w:rFonts w:cs="Arial"/>
          <w:b/>
          <w:bCs/>
        </w:rPr>
        <w:t xml:space="preserve"> from RRC_IDLE can be reused, while separate </w:t>
      </w:r>
      <w:proofErr w:type="spellStart"/>
      <w:r w:rsidR="002D1CA3" w:rsidRPr="002D1CA3">
        <w:rPr>
          <w:rFonts w:cs="Arial"/>
          <w:b/>
          <w:bCs/>
        </w:rPr>
        <w:t>TSearchDeltaP</w:t>
      </w:r>
      <w:proofErr w:type="spellEnd"/>
      <w:r w:rsidR="002D1CA3" w:rsidRPr="002D1CA3">
        <w:rPr>
          <w:rFonts w:cs="Arial"/>
          <w:b/>
          <w:bCs/>
        </w:rPr>
        <w:t xml:space="preserve"> should be introduced as configurable by </w:t>
      </w:r>
      <w:r w:rsidR="002D1CA3" w:rsidRPr="002D1CA3">
        <w:rPr>
          <w:rFonts w:cs="Arial"/>
          <w:b/>
          <w:bCs/>
          <w:i/>
          <w:iCs/>
        </w:rPr>
        <w:t>SIB3-NB.</w:t>
      </w:r>
      <w:r w:rsidRPr="003B0152">
        <w:rPr>
          <w:rFonts w:cs="Arial"/>
          <w:b/>
          <w:bCs/>
        </w:rPr>
        <w:fldChar w:fldCharType="end"/>
      </w:r>
    </w:p>
    <w:p w14:paraId="0D04EF44" w14:textId="463D2723" w:rsidR="005C3FE7" w:rsidRDefault="005C3FE7" w:rsidP="007C638C">
      <w:pPr>
        <w:pStyle w:val="BodyText"/>
        <w:ind w:left="1728" w:hanging="1728"/>
        <w:rPr>
          <w:rFonts w:cs="Arial"/>
          <w:b/>
          <w:bCs/>
        </w:rPr>
      </w:pPr>
      <w:r w:rsidRPr="003B0152">
        <w:rPr>
          <w:rFonts w:cs="Arial"/>
          <w:b/>
          <w:bCs/>
        </w:rPr>
        <w:fldChar w:fldCharType="begin"/>
      </w:r>
      <w:r w:rsidRPr="003B0152">
        <w:rPr>
          <w:rFonts w:cs="Arial"/>
          <w:b/>
          <w:bCs/>
        </w:rPr>
        <w:instrText xml:space="preserve"> REF _Ref81575829 \h </w:instrText>
      </w:r>
      <w:r w:rsidR="003B0152" w:rsidRPr="003B0152">
        <w:rPr>
          <w:rFonts w:cs="Arial"/>
          <w:b/>
          <w:bCs/>
        </w:rPr>
        <w:instrText xml:space="preserve"> \* MERGEFORMAT </w:instrText>
      </w:r>
      <w:r w:rsidRPr="003B0152">
        <w:rPr>
          <w:rFonts w:cs="Arial"/>
          <w:b/>
          <w:bCs/>
        </w:rPr>
      </w:r>
      <w:r w:rsidRPr="003B0152">
        <w:rPr>
          <w:rFonts w:cs="Arial"/>
          <w:b/>
          <w:bCs/>
        </w:rPr>
        <w:fldChar w:fldCharType="separate"/>
      </w:r>
      <w:r w:rsidR="002D1CA3" w:rsidRPr="002D1CA3">
        <w:rPr>
          <w:rFonts w:cs="Arial"/>
          <w:b/>
          <w:bCs/>
        </w:rPr>
        <w:t xml:space="preserve">Proposal </w:t>
      </w:r>
      <w:r w:rsidR="002D1CA3" w:rsidRPr="002D1CA3">
        <w:rPr>
          <w:rFonts w:cs="Arial"/>
          <w:b/>
          <w:bCs/>
          <w:noProof/>
        </w:rPr>
        <w:t>3</w:t>
      </w:r>
      <w:r w:rsidR="002D1CA3" w:rsidRPr="002D1CA3">
        <w:rPr>
          <w:rFonts w:cs="Arial"/>
          <w:b/>
          <w:bCs/>
        </w:rPr>
        <w:tab/>
        <w:t>It is not needed for UE to report when it starts/stops measurements.</w:t>
      </w:r>
      <w:r w:rsidRPr="003B0152">
        <w:rPr>
          <w:rFonts w:cs="Arial"/>
          <w:b/>
          <w:bCs/>
        </w:rPr>
        <w:fldChar w:fldCharType="end"/>
      </w:r>
    </w:p>
    <w:p w14:paraId="67684CCE" w14:textId="4E48DE62" w:rsidR="00A95AB6" w:rsidRPr="00A95AB6" w:rsidRDefault="00A95AB6" w:rsidP="007C638C">
      <w:pPr>
        <w:pStyle w:val="BodyText"/>
        <w:ind w:left="1728" w:hanging="1728"/>
        <w:rPr>
          <w:rFonts w:cs="Arial"/>
          <w:b/>
          <w:bCs/>
        </w:rPr>
      </w:pPr>
      <w:r w:rsidRPr="00A95AB6">
        <w:rPr>
          <w:rFonts w:cs="Arial"/>
          <w:b/>
          <w:bCs/>
        </w:rPr>
        <w:fldChar w:fldCharType="begin"/>
      </w:r>
      <w:r w:rsidRPr="00A95AB6">
        <w:rPr>
          <w:rFonts w:cs="Arial"/>
          <w:b/>
          <w:bCs/>
        </w:rPr>
        <w:instrText xml:space="preserve"> REF _Ref83654847 \h  \* MERGEFORMAT </w:instrText>
      </w:r>
      <w:r w:rsidRPr="00A95AB6">
        <w:rPr>
          <w:rFonts w:cs="Arial"/>
          <w:b/>
          <w:bCs/>
        </w:rPr>
      </w:r>
      <w:r w:rsidRPr="00A95AB6">
        <w:rPr>
          <w:rFonts w:cs="Arial"/>
          <w:b/>
          <w:bCs/>
        </w:rPr>
        <w:fldChar w:fldCharType="separate"/>
      </w:r>
      <w:r w:rsidR="002D1CA3" w:rsidRPr="002D1CA3">
        <w:rPr>
          <w:rFonts w:cs="Arial"/>
          <w:b/>
          <w:bCs/>
        </w:rPr>
        <w:t xml:space="preserve">Proposal </w:t>
      </w:r>
      <w:r w:rsidR="002D1CA3" w:rsidRPr="002D1CA3">
        <w:rPr>
          <w:rFonts w:cs="Arial"/>
          <w:b/>
          <w:bCs/>
          <w:noProof/>
        </w:rPr>
        <w:t>4</w:t>
      </w:r>
      <w:r w:rsidR="002D1CA3" w:rsidRPr="002D1CA3">
        <w:rPr>
          <w:rFonts w:cs="Arial"/>
          <w:b/>
          <w:bCs/>
        </w:rPr>
        <w:tab/>
      </w:r>
      <w:r w:rsidR="002D1CA3" w:rsidRPr="002D1CA3">
        <w:rPr>
          <w:rFonts w:cs="Arial" w:hint="eastAsia"/>
          <w:b/>
          <w:bCs/>
        </w:rPr>
        <w:t>Short</w:t>
      </w:r>
      <w:r w:rsidR="002D1CA3" w:rsidRPr="002D1CA3">
        <w:rPr>
          <w:rFonts w:cs="Arial"/>
          <w:b/>
          <w:bCs/>
        </w:rPr>
        <w:t>er T310 timer should be UE dedicated.</w:t>
      </w:r>
      <w:r w:rsidRPr="00A95AB6">
        <w:rPr>
          <w:rFonts w:cs="Arial"/>
          <w:b/>
          <w:bCs/>
        </w:rPr>
        <w:fldChar w:fldCharType="end"/>
      </w:r>
    </w:p>
    <w:p w14:paraId="4D6B4FCA" w14:textId="4395AE96" w:rsidR="00A95AB6" w:rsidRDefault="00A95AB6" w:rsidP="007C638C">
      <w:pPr>
        <w:pStyle w:val="BodyText"/>
        <w:ind w:left="1728" w:hanging="1728"/>
        <w:rPr>
          <w:rFonts w:cs="Arial"/>
          <w:b/>
          <w:bCs/>
        </w:rPr>
      </w:pPr>
      <w:r w:rsidRPr="00A95AB6">
        <w:rPr>
          <w:rFonts w:cs="Arial"/>
          <w:b/>
          <w:bCs/>
        </w:rPr>
        <w:fldChar w:fldCharType="begin"/>
      </w:r>
      <w:r w:rsidRPr="00A95AB6">
        <w:rPr>
          <w:rFonts w:cs="Arial"/>
          <w:b/>
          <w:bCs/>
        </w:rPr>
        <w:instrText xml:space="preserve"> REF _Ref83654851 \h  \* MERGEFORMAT </w:instrText>
      </w:r>
      <w:r w:rsidRPr="00A95AB6">
        <w:rPr>
          <w:rFonts w:cs="Arial"/>
          <w:b/>
          <w:bCs/>
        </w:rPr>
      </w:r>
      <w:r w:rsidRPr="00A95AB6">
        <w:rPr>
          <w:rFonts w:cs="Arial"/>
          <w:b/>
          <w:bCs/>
        </w:rPr>
        <w:fldChar w:fldCharType="separate"/>
      </w:r>
      <w:r w:rsidR="00722312" w:rsidRPr="00722312">
        <w:rPr>
          <w:rFonts w:cs="Arial"/>
          <w:b/>
          <w:bCs/>
        </w:rPr>
        <w:t xml:space="preserve">Proposal </w:t>
      </w:r>
      <w:r w:rsidR="00722312" w:rsidRPr="00722312">
        <w:rPr>
          <w:rFonts w:cs="Arial"/>
          <w:b/>
          <w:bCs/>
          <w:noProof/>
        </w:rPr>
        <w:t>5</w:t>
      </w:r>
      <w:r w:rsidR="00722312" w:rsidRPr="00722312">
        <w:rPr>
          <w:rFonts w:cs="Arial"/>
          <w:b/>
          <w:bCs/>
        </w:rPr>
        <w:tab/>
        <w:t>Shorter T310 timer should start based on the following conditions:</w:t>
      </w:r>
      <w:r w:rsidRPr="00A95AB6">
        <w:rPr>
          <w:rFonts w:cs="Arial"/>
          <w:b/>
          <w:bCs/>
        </w:rPr>
        <w:fldChar w:fldCharType="end"/>
      </w:r>
    </w:p>
    <w:p w14:paraId="398679DC" w14:textId="605778DF" w:rsidR="00893CC1" w:rsidRPr="002D7682" w:rsidRDefault="00893CC1" w:rsidP="00893CC1">
      <w:pPr>
        <w:numPr>
          <w:ilvl w:val="0"/>
          <w:numId w:val="31"/>
        </w:numPr>
        <w:spacing w:after="100" w:afterAutospacing="1"/>
        <w:ind w:left="1714" w:hanging="274"/>
        <w:textAlignment w:val="auto"/>
        <w:rPr>
          <w:rFonts w:ascii="Arial" w:hAnsi="Arial" w:cs="Arial"/>
          <w:b/>
          <w:lang w:eastAsia="en-GB"/>
        </w:rPr>
      </w:pPr>
      <w:r w:rsidRPr="006A5CE2">
        <w:rPr>
          <w:rFonts w:ascii="Arial" w:hAnsi="Arial" w:cs="Arial"/>
          <w:b/>
          <w:lang w:eastAsia="en-GB"/>
        </w:rPr>
        <w:t>neighbor cell is found</w:t>
      </w:r>
    </w:p>
    <w:p w14:paraId="76FDAE1B" w14:textId="77777777" w:rsidR="00893CC1" w:rsidRPr="006A5CE2" w:rsidRDefault="00893CC1" w:rsidP="00893CC1">
      <w:pPr>
        <w:numPr>
          <w:ilvl w:val="0"/>
          <w:numId w:val="31"/>
        </w:numPr>
        <w:spacing w:after="100" w:afterAutospacing="1"/>
        <w:ind w:left="1714" w:hanging="274"/>
        <w:textAlignment w:val="auto"/>
        <w:rPr>
          <w:rFonts w:ascii="Arial" w:hAnsi="Arial" w:cs="Arial"/>
          <w:b/>
          <w:lang w:eastAsia="en-GB"/>
        </w:rPr>
      </w:pPr>
      <w:r w:rsidRPr="006A5CE2">
        <w:rPr>
          <w:rFonts w:ascii="Arial" w:hAnsi="Arial" w:cs="Arial"/>
          <w:b/>
          <w:lang w:eastAsia="en-GB"/>
        </w:rPr>
        <w:t>The time difference between T310 remaining time and T312 is higher than a threshold</w:t>
      </w:r>
      <w:r>
        <w:rPr>
          <w:rFonts w:ascii="Arial" w:hAnsi="Arial" w:cs="Arial"/>
          <w:b/>
          <w:lang w:eastAsia="en-GB"/>
        </w:rPr>
        <w:t xml:space="preserve"> or T310 is not triggered</w:t>
      </w:r>
    </w:p>
    <w:p w14:paraId="7D0D430E" w14:textId="77777777" w:rsidR="00893CC1" w:rsidRPr="006A5CE2" w:rsidRDefault="00893CC1" w:rsidP="00893CC1">
      <w:pPr>
        <w:pStyle w:val="ListParagraph"/>
        <w:numPr>
          <w:ilvl w:val="0"/>
          <w:numId w:val="31"/>
        </w:numPr>
        <w:spacing w:after="100" w:afterAutospacing="1"/>
        <w:ind w:left="1714" w:hanging="274"/>
        <w:rPr>
          <w:rFonts w:ascii="Arial" w:eastAsia="SimSun" w:hAnsi="Arial" w:cs="Arial"/>
          <w:b/>
          <w:sz w:val="20"/>
          <w:szCs w:val="20"/>
          <w:lang w:val="en-GB" w:eastAsia="en-GB"/>
        </w:rPr>
      </w:pPr>
      <w:r w:rsidRPr="006A5CE2">
        <w:rPr>
          <w:rFonts w:ascii="Arial" w:eastAsia="SimSun" w:hAnsi="Arial" w:cs="Arial"/>
          <w:b/>
          <w:sz w:val="20"/>
          <w:szCs w:val="20"/>
          <w:lang w:val="en-GB" w:eastAsia="en-GB"/>
        </w:rPr>
        <w:t>(optional) Serving cell quality condition</w:t>
      </w:r>
    </w:p>
    <w:p w14:paraId="008EF66C" w14:textId="2C8346B4" w:rsidR="00142183" w:rsidRDefault="00A95AB6" w:rsidP="003D6E06">
      <w:pPr>
        <w:pStyle w:val="BodyText"/>
        <w:ind w:left="1728" w:hanging="1728"/>
        <w:rPr>
          <w:rFonts w:cs="Arial"/>
          <w:b/>
          <w:bCs/>
        </w:rPr>
      </w:pPr>
      <w:r w:rsidRPr="00A95AB6">
        <w:rPr>
          <w:rFonts w:cs="Arial"/>
          <w:b/>
          <w:bCs/>
        </w:rPr>
        <w:fldChar w:fldCharType="begin"/>
      </w:r>
      <w:r w:rsidRPr="00A95AB6">
        <w:rPr>
          <w:rFonts w:cs="Arial"/>
          <w:b/>
          <w:bCs/>
        </w:rPr>
        <w:instrText xml:space="preserve"> REF _Ref83654859 \h  \* MERGEFORMAT </w:instrText>
      </w:r>
      <w:r w:rsidRPr="00A95AB6">
        <w:rPr>
          <w:rFonts w:cs="Arial"/>
          <w:b/>
          <w:bCs/>
        </w:rPr>
      </w:r>
      <w:r w:rsidRPr="00A95AB6">
        <w:rPr>
          <w:rFonts w:cs="Arial"/>
          <w:b/>
          <w:bCs/>
        </w:rPr>
        <w:fldChar w:fldCharType="separate"/>
      </w:r>
      <w:r w:rsidR="00722312" w:rsidRPr="00722312">
        <w:rPr>
          <w:rFonts w:cs="Arial"/>
          <w:b/>
          <w:bCs/>
        </w:rPr>
        <w:t xml:space="preserve">Proposal </w:t>
      </w:r>
      <w:r w:rsidR="00722312" w:rsidRPr="00722312">
        <w:rPr>
          <w:rFonts w:cs="Arial"/>
          <w:b/>
          <w:bCs/>
          <w:noProof/>
        </w:rPr>
        <w:t>6</w:t>
      </w:r>
      <w:r w:rsidR="00722312" w:rsidRPr="00722312">
        <w:rPr>
          <w:rFonts w:cs="Arial"/>
          <w:b/>
          <w:bCs/>
        </w:rPr>
        <w:tab/>
        <w:t xml:space="preserve">RLF can be declared at expire of the new shorter T310 timer, only when legacy </w:t>
      </w:r>
      <w:r w:rsidR="00722312" w:rsidRPr="00722312">
        <w:rPr>
          <w:rFonts w:cs="Arial"/>
          <w:b/>
        </w:rPr>
        <w:t>T310 is running.</w:t>
      </w:r>
      <w:r w:rsidRPr="00A95AB6">
        <w:rPr>
          <w:rFonts w:cs="Arial"/>
          <w:b/>
          <w:bCs/>
        </w:rPr>
        <w:fldChar w:fldCharType="end"/>
      </w:r>
    </w:p>
    <w:p w14:paraId="1C0DF8C9" w14:textId="75EE2C58" w:rsidR="00282F8F" w:rsidRPr="003B0152" w:rsidRDefault="00282F8F" w:rsidP="003D6E06">
      <w:pPr>
        <w:pStyle w:val="BodyText"/>
        <w:ind w:left="1728" w:hanging="1728"/>
        <w:rPr>
          <w:rFonts w:cs="Arial"/>
          <w:b/>
          <w:bCs/>
        </w:rPr>
      </w:pPr>
      <w:r>
        <w:rPr>
          <w:rFonts w:cs="Arial"/>
          <w:b/>
          <w:bCs/>
        </w:rPr>
        <w:fldChar w:fldCharType="begin"/>
      </w:r>
      <w:r>
        <w:rPr>
          <w:rFonts w:cs="Arial"/>
          <w:b/>
          <w:bCs/>
        </w:rPr>
        <w:instrText xml:space="preserve"> REF _Ref85619732 \h  \* MERGEFORMAT </w:instrText>
      </w:r>
      <w:r>
        <w:rPr>
          <w:rFonts w:cs="Arial"/>
          <w:b/>
          <w:bCs/>
        </w:rPr>
      </w:r>
      <w:r>
        <w:rPr>
          <w:rFonts w:cs="Arial"/>
          <w:b/>
          <w:bCs/>
        </w:rPr>
        <w:fldChar w:fldCharType="separate"/>
      </w:r>
      <w:r w:rsidR="00722312" w:rsidRPr="00722312">
        <w:rPr>
          <w:rFonts w:cs="Arial"/>
          <w:b/>
          <w:bCs/>
        </w:rPr>
        <w:t>Proposal 7</w:t>
      </w:r>
      <w:r w:rsidR="00722312" w:rsidRPr="00722312">
        <w:rPr>
          <w:rFonts w:cs="Arial"/>
          <w:b/>
          <w:bCs/>
        </w:rPr>
        <w:tab/>
        <w:t>Introduce UE capability for Fast RLF.</w:t>
      </w:r>
      <w:r>
        <w:rPr>
          <w:rFonts w:cs="Arial"/>
          <w:b/>
          <w:bCs/>
        </w:rPr>
        <w:fldChar w:fldCharType="end"/>
      </w:r>
    </w:p>
    <w:p w14:paraId="1098474D" w14:textId="77777777" w:rsidR="00F507D1" w:rsidRPr="00CE0424" w:rsidRDefault="00F507D1" w:rsidP="009108CA">
      <w:pPr>
        <w:pStyle w:val="Heading1"/>
        <w:numPr>
          <w:ilvl w:val="0"/>
          <w:numId w:val="19"/>
        </w:numPr>
        <w:ind w:hanging="810"/>
      </w:pPr>
      <w:bookmarkStart w:id="13" w:name="_In-sequence_SDU_delivery"/>
      <w:bookmarkEnd w:id="13"/>
      <w:r w:rsidRPr="00CE0424">
        <w:t>References</w:t>
      </w:r>
    </w:p>
    <w:p w14:paraId="791CADCD" w14:textId="7FD20BEF" w:rsidR="003A7EF3" w:rsidRPr="000F6A7E" w:rsidRDefault="00F20CAB" w:rsidP="00685DB3">
      <w:pPr>
        <w:pStyle w:val="Reference"/>
        <w:rPr>
          <w:rStyle w:val="eop"/>
        </w:rPr>
      </w:pPr>
      <w:bookmarkStart w:id="14" w:name="_Ref174151459"/>
      <w:bookmarkStart w:id="15" w:name="_Ref189809556"/>
      <w:r w:rsidRPr="008332D6">
        <w:rPr>
          <w:rStyle w:val="normaltextrun"/>
          <w:rFonts w:cs="Arial"/>
          <w:color w:val="000000"/>
          <w:sz w:val="22"/>
          <w:szCs w:val="22"/>
          <w:u w:val="single"/>
          <w:shd w:val="clear" w:color="auto" w:fill="E1E3E6"/>
        </w:rPr>
        <w:t>RP-201306</w:t>
      </w:r>
      <w:r w:rsidRPr="008332D6">
        <w:rPr>
          <w:rStyle w:val="normaltextrun"/>
          <w:rFonts w:cs="Arial"/>
          <w:sz w:val="22"/>
          <w:szCs w:val="22"/>
        </w:rPr>
        <w:t>, “WID revision: Additional enhancements for NB-IoT and LTE-MTC”, RAN #88e, Electronic Meeting, June 29</w:t>
      </w:r>
      <w:r w:rsidRPr="008332D6">
        <w:rPr>
          <w:rStyle w:val="normaltextrun"/>
          <w:rFonts w:cs="Arial"/>
          <w:sz w:val="17"/>
          <w:szCs w:val="17"/>
          <w:vertAlign w:val="superscript"/>
        </w:rPr>
        <w:t xml:space="preserve">th </w:t>
      </w:r>
      <w:r w:rsidRPr="008332D6">
        <w:rPr>
          <w:rStyle w:val="normaltextrun"/>
          <w:rFonts w:cs="Arial"/>
          <w:sz w:val="22"/>
          <w:szCs w:val="22"/>
        </w:rPr>
        <w:t>– July 3</w:t>
      </w:r>
      <w:r w:rsidRPr="008332D6">
        <w:rPr>
          <w:rStyle w:val="normaltextrun"/>
          <w:rFonts w:cs="Arial"/>
          <w:sz w:val="17"/>
          <w:szCs w:val="17"/>
          <w:vertAlign w:val="superscript"/>
        </w:rPr>
        <w:t>rd</w:t>
      </w:r>
      <w:r w:rsidRPr="008332D6">
        <w:rPr>
          <w:rStyle w:val="normaltextrun"/>
          <w:rFonts w:cs="Arial"/>
          <w:sz w:val="22"/>
          <w:szCs w:val="22"/>
        </w:rPr>
        <w:t>, 2020.</w:t>
      </w:r>
      <w:r w:rsidRPr="008332D6">
        <w:rPr>
          <w:rStyle w:val="eop"/>
          <w:rFonts w:cs="Arial"/>
          <w:sz w:val="22"/>
          <w:szCs w:val="22"/>
        </w:rPr>
        <w:t> </w:t>
      </w:r>
      <w:bookmarkEnd w:id="14"/>
      <w:bookmarkEnd w:id="15"/>
    </w:p>
    <w:p w14:paraId="3820BFD8" w14:textId="2F583022" w:rsidR="000F6A7E" w:rsidRPr="00CE0424" w:rsidRDefault="000F6A7E" w:rsidP="000F6A7E">
      <w:pPr>
        <w:pStyle w:val="Reference"/>
      </w:pPr>
      <w:bookmarkStart w:id="16" w:name="_Ref69903966"/>
      <w:r w:rsidRPr="004A03DE">
        <w:t>R4-2105800</w:t>
      </w:r>
      <w:r>
        <w:tab/>
      </w:r>
      <w:r>
        <w:tab/>
      </w:r>
      <w:r w:rsidRPr="004A03DE">
        <w:t>Reply LS on neighbour cell measurement in NB-IoT RRC_CONNECTED state, RAN4, April 2021</w:t>
      </w:r>
      <w:bookmarkEnd w:id="16"/>
    </w:p>
    <w:sectPr w:rsidR="000F6A7E"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5132" w16cex:dateUtc="2021-10-19T12:14:00Z"/>
  <w16cex:commentExtensible w16cex:durableId="251A71F8" w16cex:dateUtc="2021-10-20T02:46:00Z"/>
  <w16cex:commentExtensible w16cex:durableId="2519520D" w16cex:dateUtc="2021-10-19T12:17:00Z"/>
  <w16cex:commentExtensible w16cex:durableId="251A7202" w16cex:dateUtc="2021-10-20T02: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836F8" w14:textId="77777777" w:rsidR="00420792" w:rsidRDefault="00420792">
      <w:r>
        <w:separator/>
      </w:r>
    </w:p>
  </w:endnote>
  <w:endnote w:type="continuationSeparator" w:id="0">
    <w:p w14:paraId="3BC9C457" w14:textId="77777777" w:rsidR="00420792" w:rsidRDefault="00420792">
      <w:r>
        <w:continuationSeparator/>
      </w:r>
    </w:p>
  </w:endnote>
  <w:endnote w:type="continuationNotice" w:id="1">
    <w:p w14:paraId="6B0EE7D9" w14:textId="77777777" w:rsidR="00420792" w:rsidRDefault="00420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032B87" w:rsidRDefault="00032B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CC918" w14:textId="77777777" w:rsidR="00420792" w:rsidRDefault="00420792">
      <w:r>
        <w:separator/>
      </w:r>
    </w:p>
  </w:footnote>
  <w:footnote w:type="continuationSeparator" w:id="0">
    <w:p w14:paraId="62D45958" w14:textId="77777777" w:rsidR="00420792" w:rsidRDefault="00420792">
      <w:r>
        <w:continuationSeparator/>
      </w:r>
    </w:p>
  </w:footnote>
  <w:footnote w:type="continuationNotice" w:id="1">
    <w:p w14:paraId="16EA36ED" w14:textId="77777777" w:rsidR="00420792" w:rsidRDefault="00420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032B87" w:rsidRDefault="00032B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5C664C"/>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A78E9"/>
    <w:multiLevelType w:val="hybridMultilevel"/>
    <w:tmpl w:val="D4206FA8"/>
    <w:lvl w:ilvl="0" w:tplc="D9FE5F7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54100D8"/>
    <w:multiLevelType w:val="hybridMultilevel"/>
    <w:tmpl w:val="7C9E3B14"/>
    <w:lvl w:ilvl="0" w:tplc="C01EC666">
      <w:start w:val="9"/>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hint="default"/>
      </w:rPr>
    </w:lvl>
    <w:lvl w:ilvl="1" w:tplc="79C62ACC">
      <w:start w:val="1"/>
      <w:numFmt w:val="bullet"/>
      <w:lvlText w:val="•"/>
      <w:lvlJc w:val="left"/>
      <w:pPr>
        <w:tabs>
          <w:tab w:val="num" w:pos="1440"/>
        </w:tabs>
        <w:ind w:left="1440" w:hanging="360"/>
      </w:pPr>
      <w:rPr>
        <w:rFonts w:ascii="Arial" w:hAnsi="Arial" w:hint="default"/>
      </w:rPr>
    </w:lvl>
    <w:lvl w:ilvl="2" w:tplc="606A195C" w:tentative="1">
      <w:start w:val="1"/>
      <w:numFmt w:val="bullet"/>
      <w:lvlText w:val="•"/>
      <w:lvlJc w:val="left"/>
      <w:pPr>
        <w:tabs>
          <w:tab w:val="num" w:pos="2160"/>
        </w:tabs>
        <w:ind w:left="2160" w:hanging="360"/>
      </w:pPr>
      <w:rPr>
        <w:rFonts w:ascii="Arial" w:hAnsi="Arial" w:hint="default"/>
      </w:rPr>
    </w:lvl>
    <w:lvl w:ilvl="3" w:tplc="273A344A" w:tentative="1">
      <w:start w:val="1"/>
      <w:numFmt w:val="bullet"/>
      <w:lvlText w:val="•"/>
      <w:lvlJc w:val="left"/>
      <w:pPr>
        <w:tabs>
          <w:tab w:val="num" w:pos="2880"/>
        </w:tabs>
        <w:ind w:left="2880" w:hanging="360"/>
      </w:pPr>
      <w:rPr>
        <w:rFonts w:ascii="Arial" w:hAnsi="Arial" w:hint="default"/>
      </w:rPr>
    </w:lvl>
    <w:lvl w:ilvl="4" w:tplc="5C2434DC" w:tentative="1">
      <w:start w:val="1"/>
      <w:numFmt w:val="bullet"/>
      <w:lvlText w:val="•"/>
      <w:lvlJc w:val="left"/>
      <w:pPr>
        <w:tabs>
          <w:tab w:val="num" w:pos="3600"/>
        </w:tabs>
        <w:ind w:left="3600" w:hanging="360"/>
      </w:pPr>
      <w:rPr>
        <w:rFonts w:ascii="Arial" w:hAnsi="Arial" w:hint="default"/>
      </w:rPr>
    </w:lvl>
    <w:lvl w:ilvl="5" w:tplc="46BC02D6" w:tentative="1">
      <w:start w:val="1"/>
      <w:numFmt w:val="bullet"/>
      <w:lvlText w:val="•"/>
      <w:lvlJc w:val="left"/>
      <w:pPr>
        <w:tabs>
          <w:tab w:val="num" w:pos="4320"/>
        </w:tabs>
        <w:ind w:left="4320" w:hanging="360"/>
      </w:pPr>
      <w:rPr>
        <w:rFonts w:ascii="Arial" w:hAnsi="Arial" w:hint="default"/>
      </w:rPr>
    </w:lvl>
    <w:lvl w:ilvl="6" w:tplc="236E9F42" w:tentative="1">
      <w:start w:val="1"/>
      <w:numFmt w:val="bullet"/>
      <w:lvlText w:val="•"/>
      <w:lvlJc w:val="left"/>
      <w:pPr>
        <w:tabs>
          <w:tab w:val="num" w:pos="5040"/>
        </w:tabs>
        <w:ind w:left="5040" w:hanging="360"/>
      </w:pPr>
      <w:rPr>
        <w:rFonts w:ascii="Arial" w:hAnsi="Arial" w:hint="default"/>
      </w:rPr>
    </w:lvl>
    <w:lvl w:ilvl="7" w:tplc="43DCBDE0" w:tentative="1">
      <w:start w:val="1"/>
      <w:numFmt w:val="bullet"/>
      <w:lvlText w:val="•"/>
      <w:lvlJc w:val="left"/>
      <w:pPr>
        <w:tabs>
          <w:tab w:val="num" w:pos="5760"/>
        </w:tabs>
        <w:ind w:left="5760" w:hanging="360"/>
      </w:pPr>
      <w:rPr>
        <w:rFonts w:ascii="Arial" w:hAnsi="Arial" w:hint="default"/>
      </w:rPr>
    </w:lvl>
    <w:lvl w:ilvl="8" w:tplc="CCB265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B2A495B"/>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544899"/>
    <w:multiLevelType w:val="hybridMultilevel"/>
    <w:tmpl w:val="CCA8EEB8"/>
    <w:lvl w:ilvl="0" w:tplc="D7E8634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D1C87558"/>
    <w:lvl w:ilvl="0" w:tplc="4C28F51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287DB1"/>
    <w:multiLevelType w:val="multilevel"/>
    <w:tmpl w:val="D1262A98"/>
    <w:lvl w:ilvl="0">
      <w:start w:val="1"/>
      <w:numFmt w:val="decimal"/>
      <w:lvlText w:val="%1"/>
      <w:lvlJc w:val="left"/>
      <w:pPr>
        <w:ind w:left="720" w:hanging="360"/>
      </w:pPr>
      <w:rPr>
        <w:rFonts w:hint="eastAsia"/>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AC1213"/>
    <w:multiLevelType w:val="hybridMultilevel"/>
    <w:tmpl w:val="2EC0CC9A"/>
    <w:lvl w:ilvl="0" w:tplc="4C0AA180">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7664A4"/>
    <w:multiLevelType w:val="hybridMultilevel"/>
    <w:tmpl w:val="5CA0E76A"/>
    <w:lvl w:ilvl="0" w:tplc="4C0AA180">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968F5"/>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10"/>
  </w:num>
  <w:num w:numId="8">
    <w:abstractNumId w:val="12"/>
  </w:num>
  <w:num w:numId="9">
    <w:abstractNumId w:val="3"/>
  </w:num>
  <w:num w:numId="10">
    <w:abstractNumId w:val="23"/>
  </w:num>
  <w:num w:numId="11">
    <w:abstractNumId w:val="13"/>
  </w:num>
  <w:num w:numId="12">
    <w:abstractNumId w:val="21"/>
  </w:num>
  <w:num w:numId="13">
    <w:abstractNumId w:val="7"/>
  </w:num>
  <w:num w:numId="14">
    <w:abstractNumId w:val="22"/>
  </w:num>
  <w:num w:numId="15">
    <w:abstractNumId w:val="9"/>
  </w:num>
  <w:num w:numId="16">
    <w:abstractNumId w:val="5"/>
  </w:num>
  <w:num w:numId="17">
    <w:abstractNumId w:val="4"/>
  </w:num>
  <w:num w:numId="18">
    <w:abstractNumId w:val="2"/>
  </w:num>
  <w:num w:numId="19">
    <w:abstractNumId w:val="16"/>
  </w:num>
  <w:num w:numId="20">
    <w:abstractNumId w:val="8"/>
  </w:num>
  <w:num w:numId="21">
    <w:abstractNumId w:val="14"/>
  </w:num>
  <w:num w:numId="22">
    <w:abstractNumId w:val="24"/>
  </w:num>
  <w:num w:numId="23">
    <w:abstractNumId w:val="26"/>
  </w:num>
  <w:num w:numId="24">
    <w:abstractNumId w:val="1"/>
  </w:num>
  <w:num w:numId="25">
    <w:abstractNumId w:val="6"/>
  </w:num>
  <w:num w:numId="26">
    <w:abstractNumId w:val="11"/>
  </w:num>
  <w:num w:numId="27">
    <w:abstractNumId w:val="27"/>
  </w:num>
  <w:num w:numId="28">
    <w:abstractNumId w:val="24"/>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896"/>
    <w:rsid w:val="00006971"/>
    <w:rsid w:val="00007CDC"/>
    <w:rsid w:val="00011B28"/>
    <w:rsid w:val="00015D15"/>
    <w:rsid w:val="0002423D"/>
    <w:rsid w:val="0002564D"/>
    <w:rsid w:val="00025ECA"/>
    <w:rsid w:val="00030687"/>
    <w:rsid w:val="000325B8"/>
    <w:rsid w:val="00032B87"/>
    <w:rsid w:val="00034C15"/>
    <w:rsid w:val="00035FA2"/>
    <w:rsid w:val="0003669C"/>
    <w:rsid w:val="00036BA1"/>
    <w:rsid w:val="000422E2"/>
    <w:rsid w:val="00042F22"/>
    <w:rsid w:val="0004314F"/>
    <w:rsid w:val="000444EF"/>
    <w:rsid w:val="00045463"/>
    <w:rsid w:val="00046B90"/>
    <w:rsid w:val="00050A97"/>
    <w:rsid w:val="00052A07"/>
    <w:rsid w:val="000534E3"/>
    <w:rsid w:val="00054D83"/>
    <w:rsid w:val="0005606A"/>
    <w:rsid w:val="00056BF5"/>
    <w:rsid w:val="00057117"/>
    <w:rsid w:val="000616E7"/>
    <w:rsid w:val="00062C08"/>
    <w:rsid w:val="000632F2"/>
    <w:rsid w:val="0006487E"/>
    <w:rsid w:val="00065E1A"/>
    <w:rsid w:val="0006739D"/>
    <w:rsid w:val="00070049"/>
    <w:rsid w:val="00077E5F"/>
    <w:rsid w:val="0008036A"/>
    <w:rsid w:val="00081AE6"/>
    <w:rsid w:val="00084178"/>
    <w:rsid w:val="000855EB"/>
    <w:rsid w:val="00085B52"/>
    <w:rsid w:val="000866F2"/>
    <w:rsid w:val="00087896"/>
    <w:rsid w:val="0009009F"/>
    <w:rsid w:val="00091557"/>
    <w:rsid w:val="000924C1"/>
    <w:rsid w:val="000924F0"/>
    <w:rsid w:val="00093474"/>
    <w:rsid w:val="0009510F"/>
    <w:rsid w:val="000A1B7B"/>
    <w:rsid w:val="000A56F2"/>
    <w:rsid w:val="000B2719"/>
    <w:rsid w:val="000B3A8F"/>
    <w:rsid w:val="000B45BE"/>
    <w:rsid w:val="000B4AB9"/>
    <w:rsid w:val="000B58C3"/>
    <w:rsid w:val="000B61E9"/>
    <w:rsid w:val="000C165A"/>
    <w:rsid w:val="000C28CC"/>
    <w:rsid w:val="000C2E19"/>
    <w:rsid w:val="000C7A86"/>
    <w:rsid w:val="000D0D07"/>
    <w:rsid w:val="000D4797"/>
    <w:rsid w:val="000D7B6C"/>
    <w:rsid w:val="000E0527"/>
    <w:rsid w:val="000E1E92"/>
    <w:rsid w:val="000E42C5"/>
    <w:rsid w:val="000E5F42"/>
    <w:rsid w:val="000E6921"/>
    <w:rsid w:val="000F06D6"/>
    <w:rsid w:val="000F0EB1"/>
    <w:rsid w:val="000F1106"/>
    <w:rsid w:val="000F3BE9"/>
    <w:rsid w:val="000F3F6C"/>
    <w:rsid w:val="000F6A7E"/>
    <w:rsid w:val="000F6DF3"/>
    <w:rsid w:val="000F75EC"/>
    <w:rsid w:val="001005FF"/>
    <w:rsid w:val="00101F46"/>
    <w:rsid w:val="001062FB"/>
    <w:rsid w:val="001063E6"/>
    <w:rsid w:val="00113CF4"/>
    <w:rsid w:val="001153EA"/>
    <w:rsid w:val="00115643"/>
    <w:rsid w:val="00116765"/>
    <w:rsid w:val="00121375"/>
    <w:rsid w:val="001219F5"/>
    <w:rsid w:val="00121A20"/>
    <w:rsid w:val="0012377F"/>
    <w:rsid w:val="00124314"/>
    <w:rsid w:val="00126B4A"/>
    <w:rsid w:val="00127513"/>
    <w:rsid w:val="00132FD0"/>
    <w:rsid w:val="001344C0"/>
    <w:rsid w:val="001346FA"/>
    <w:rsid w:val="00135252"/>
    <w:rsid w:val="00135272"/>
    <w:rsid w:val="00137AB5"/>
    <w:rsid w:val="00137F0B"/>
    <w:rsid w:val="00142183"/>
    <w:rsid w:val="00150327"/>
    <w:rsid w:val="00151E23"/>
    <w:rsid w:val="001526E0"/>
    <w:rsid w:val="001531A1"/>
    <w:rsid w:val="001551B5"/>
    <w:rsid w:val="0015552E"/>
    <w:rsid w:val="001659C1"/>
    <w:rsid w:val="0016664F"/>
    <w:rsid w:val="00166AFD"/>
    <w:rsid w:val="0017180F"/>
    <w:rsid w:val="00171AAF"/>
    <w:rsid w:val="00173A8E"/>
    <w:rsid w:val="0017502C"/>
    <w:rsid w:val="0018143F"/>
    <w:rsid w:val="00181FF8"/>
    <w:rsid w:val="00182616"/>
    <w:rsid w:val="0018265B"/>
    <w:rsid w:val="00190AC1"/>
    <w:rsid w:val="0019341A"/>
    <w:rsid w:val="001955D1"/>
    <w:rsid w:val="0019560A"/>
    <w:rsid w:val="00197AB3"/>
    <w:rsid w:val="00197DF9"/>
    <w:rsid w:val="001A0C5F"/>
    <w:rsid w:val="001A1987"/>
    <w:rsid w:val="001A1C4B"/>
    <w:rsid w:val="001A2564"/>
    <w:rsid w:val="001A2C06"/>
    <w:rsid w:val="001A3AC7"/>
    <w:rsid w:val="001A5EA9"/>
    <w:rsid w:val="001A6173"/>
    <w:rsid w:val="001A6CBA"/>
    <w:rsid w:val="001B0D97"/>
    <w:rsid w:val="001B545E"/>
    <w:rsid w:val="001B5A5D"/>
    <w:rsid w:val="001B6F41"/>
    <w:rsid w:val="001B7647"/>
    <w:rsid w:val="001C1CE5"/>
    <w:rsid w:val="001C3D2A"/>
    <w:rsid w:val="001C6EFF"/>
    <w:rsid w:val="001D51BA"/>
    <w:rsid w:val="001D53E7"/>
    <w:rsid w:val="001D6342"/>
    <w:rsid w:val="001D6D53"/>
    <w:rsid w:val="001E3471"/>
    <w:rsid w:val="001E58E2"/>
    <w:rsid w:val="001E6FC6"/>
    <w:rsid w:val="001E7AED"/>
    <w:rsid w:val="001F0497"/>
    <w:rsid w:val="001F23F9"/>
    <w:rsid w:val="001F2F40"/>
    <w:rsid w:val="001F3916"/>
    <w:rsid w:val="001F3D62"/>
    <w:rsid w:val="001F54C5"/>
    <w:rsid w:val="001F6029"/>
    <w:rsid w:val="001F662C"/>
    <w:rsid w:val="001F7074"/>
    <w:rsid w:val="00200490"/>
    <w:rsid w:val="00201F3A"/>
    <w:rsid w:val="00203F96"/>
    <w:rsid w:val="002069B2"/>
    <w:rsid w:val="00206AF1"/>
    <w:rsid w:val="00207FA3"/>
    <w:rsid w:val="00214DA8"/>
    <w:rsid w:val="00215423"/>
    <w:rsid w:val="002158FA"/>
    <w:rsid w:val="00220600"/>
    <w:rsid w:val="002224DB"/>
    <w:rsid w:val="00223FCB"/>
    <w:rsid w:val="00224D64"/>
    <w:rsid w:val="002252C3"/>
    <w:rsid w:val="00225C54"/>
    <w:rsid w:val="00230765"/>
    <w:rsid w:val="00230D18"/>
    <w:rsid w:val="00230F86"/>
    <w:rsid w:val="0023116E"/>
    <w:rsid w:val="002319E4"/>
    <w:rsid w:val="00235632"/>
    <w:rsid w:val="00235872"/>
    <w:rsid w:val="00241559"/>
    <w:rsid w:val="002435B3"/>
    <w:rsid w:val="002458EB"/>
    <w:rsid w:val="00247A71"/>
    <w:rsid w:val="002500C8"/>
    <w:rsid w:val="002573AB"/>
    <w:rsid w:val="00257543"/>
    <w:rsid w:val="0025786A"/>
    <w:rsid w:val="002617E7"/>
    <w:rsid w:val="00264228"/>
    <w:rsid w:val="00264334"/>
    <w:rsid w:val="0026473E"/>
    <w:rsid w:val="00266214"/>
    <w:rsid w:val="00267C83"/>
    <w:rsid w:val="002702A0"/>
    <w:rsid w:val="0027144F"/>
    <w:rsid w:val="00271813"/>
    <w:rsid w:val="00271F3A"/>
    <w:rsid w:val="00273278"/>
    <w:rsid w:val="002737F4"/>
    <w:rsid w:val="002805F5"/>
    <w:rsid w:val="00280751"/>
    <w:rsid w:val="00280E8F"/>
    <w:rsid w:val="00280FF1"/>
    <w:rsid w:val="00282680"/>
    <w:rsid w:val="00282779"/>
    <w:rsid w:val="0028280A"/>
    <w:rsid w:val="00282F8F"/>
    <w:rsid w:val="00286ACD"/>
    <w:rsid w:val="00287838"/>
    <w:rsid w:val="002907B5"/>
    <w:rsid w:val="00292EB7"/>
    <w:rsid w:val="0029371C"/>
    <w:rsid w:val="002944ED"/>
    <w:rsid w:val="002952B8"/>
    <w:rsid w:val="00296227"/>
    <w:rsid w:val="00296F44"/>
    <w:rsid w:val="0029777D"/>
    <w:rsid w:val="002A055E"/>
    <w:rsid w:val="002A1D4E"/>
    <w:rsid w:val="002A2869"/>
    <w:rsid w:val="002A3775"/>
    <w:rsid w:val="002A3BED"/>
    <w:rsid w:val="002A7A3C"/>
    <w:rsid w:val="002B24D6"/>
    <w:rsid w:val="002B4175"/>
    <w:rsid w:val="002B46E2"/>
    <w:rsid w:val="002C28DD"/>
    <w:rsid w:val="002C41E6"/>
    <w:rsid w:val="002C6875"/>
    <w:rsid w:val="002D071A"/>
    <w:rsid w:val="002D1CA3"/>
    <w:rsid w:val="002D34B2"/>
    <w:rsid w:val="002D48B0"/>
    <w:rsid w:val="002D5B37"/>
    <w:rsid w:val="002D7637"/>
    <w:rsid w:val="002D7682"/>
    <w:rsid w:val="002E17F2"/>
    <w:rsid w:val="002E7CAE"/>
    <w:rsid w:val="002F2771"/>
    <w:rsid w:val="002F37A9"/>
    <w:rsid w:val="002F4897"/>
    <w:rsid w:val="002F59E4"/>
    <w:rsid w:val="003003EA"/>
    <w:rsid w:val="00301990"/>
    <w:rsid w:val="00301CE6"/>
    <w:rsid w:val="0030256B"/>
    <w:rsid w:val="00302F82"/>
    <w:rsid w:val="0030501F"/>
    <w:rsid w:val="00307BA1"/>
    <w:rsid w:val="00311702"/>
    <w:rsid w:val="00311E82"/>
    <w:rsid w:val="00313FD6"/>
    <w:rsid w:val="003143BD"/>
    <w:rsid w:val="00315363"/>
    <w:rsid w:val="003203ED"/>
    <w:rsid w:val="00320824"/>
    <w:rsid w:val="00322813"/>
    <w:rsid w:val="00322C9F"/>
    <w:rsid w:val="00324D23"/>
    <w:rsid w:val="00330E46"/>
    <w:rsid w:val="00331751"/>
    <w:rsid w:val="00334579"/>
    <w:rsid w:val="00335858"/>
    <w:rsid w:val="00336BDA"/>
    <w:rsid w:val="00337352"/>
    <w:rsid w:val="00342BD7"/>
    <w:rsid w:val="00346DB5"/>
    <w:rsid w:val="003477B1"/>
    <w:rsid w:val="0035040A"/>
    <w:rsid w:val="00357380"/>
    <w:rsid w:val="00357CC4"/>
    <w:rsid w:val="003602D9"/>
    <w:rsid w:val="003604CE"/>
    <w:rsid w:val="0036178A"/>
    <w:rsid w:val="003620EE"/>
    <w:rsid w:val="003675ED"/>
    <w:rsid w:val="00370E47"/>
    <w:rsid w:val="003728B6"/>
    <w:rsid w:val="00373657"/>
    <w:rsid w:val="003742AC"/>
    <w:rsid w:val="00377CE1"/>
    <w:rsid w:val="00380EF9"/>
    <w:rsid w:val="00381C29"/>
    <w:rsid w:val="00385BF0"/>
    <w:rsid w:val="00387EB7"/>
    <w:rsid w:val="00391C3E"/>
    <w:rsid w:val="003939FF"/>
    <w:rsid w:val="003A2223"/>
    <w:rsid w:val="003A2A0F"/>
    <w:rsid w:val="003A45A1"/>
    <w:rsid w:val="003A5B0A"/>
    <w:rsid w:val="003A6BAC"/>
    <w:rsid w:val="003A70A4"/>
    <w:rsid w:val="003A7EF3"/>
    <w:rsid w:val="003B0152"/>
    <w:rsid w:val="003B090F"/>
    <w:rsid w:val="003B159C"/>
    <w:rsid w:val="003B303E"/>
    <w:rsid w:val="003B369F"/>
    <w:rsid w:val="003B36A3"/>
    <w:rsid w:val="003B64BB"/>
    <w:rsid w:val="003B7FE5"/>
    <w:rsid w:val="003C11C8"/>
    <w:rsid w:val="003C2702"/>
    <w:rsid w:val="003C7806"/>
    <w:rsid w:val="003D109F"/>
    <w:rsid w:val="003D2478"/>
    <w:rsid w:val="003D3C45"/>
    <w:rsid w:val="003D5B1F"/>
    <w:rsid w:val="003D6E06"/>
    <w:rsid w:val="003E15FA"/>
    <w:rsid w:val="003E44B6"/>
    <w:rsid w:val="003E55E4"/>
    <w:rsid w:val="003E56B7"/>
    <w:rsid w:val="003E74E3"/>
    <w:rsid w:val="003F05C7"/>
    <w:rsid w:val="003F2CD4"/>
    <w:rsid w:val="003F6BBE"/>
    <w:rsid w:val="003F7D3C"/>
    <w:rsid w:val="004000E8"/>
    <w:rsid w:val="00401CA4"/>
    <w:rsid w:val="00402E2B"/>
    <w:rsid w:val="00403245"/>
    <w:rsid w:val="0040512B"/>
    <w:rsid w:val="00405CA5"/>
    <w:rsid w:val="00406478"/>
    <w:rsid w:val="00406E3C"/>
    <w:rsid w:val="00407CD3"/>
    <w:rsid w:val="00410134"/>
    <w:rsid w:val="00410B72"/>
    <w:rsid w:val="00410F18"/>
    <w:rsid w:val="0041263E"/>
    <w:rsid w:val="00413AAC"/>
    <w:rsid w:val="00413E92"/>
    <w:rsid w:val="00416F0A"/>
    <w:rsid w:val="00420792"/>
    <w:rsid w:val="00421105"/>
    <w:rsid w:val="00422AA4"/>
    <w:rsid w:val="004242F4"/>
    <w:rsid w:val="004252F0"/>
    <w:rsid w:val="00427248"/>
    <w:rsid w:val="00437447"/>
    <w:rsid w:val="00441A92"/>
    <w:rsid w:val="004430BF"/>
    <w:rsid w:val="004431DC"/>
    <w:rsid w:val="004447AA"/>
    <w:rsid w:val="00444F56"/>
    <w:rsid w:val="00446488"/>
    <w:rsid w:val="004517AA"/>
    <w:rsid w:val="00452CAC"/>
    <w:rsid w:val="00453281"/>
    <w:rsid w:val="00457565"/>
    <w:rsid w:val="00457B71"/>
    <w:rsid w:val="0046627F"/>
    <w:rsid w:val="004669E2"/>
    <w:rsid w:val="00467505"/>
    <w:rsid w:val="00470C31"/>
    <w:rsid w:val="00471DE0"/>
    <w:rsid w:val="004734D0"/>
    <w:rsid w:val="00473564"/>
    <w:rsid w:val="0047556B"/>
    <w:rsid w:val="00475698"/>
    <w:rsid w:val="00477768"/>
    <w:rsid w:val="0049133F"/>
    <w:rsid w:val="00492BC5"/>
    <w:rsid w:val="00492F8F"/>
    <w:rsid w:val="004964F1"/>
    <w:rsid w:val="004A16BC"/>
    <w:rsid w:val="004A2B94"/>
    <w:rsid w:val="004A6DCE"/>
    <w:rsid w:val="004B254B"/>
    <w:rsid w:val="004B6F6A"/>
    <w:rsid w:val="004B7C0C"/>
    <w:rsid w:val="004C1400"/>
    <w:rsid w:val="004C3898"/>
    <w:rsid w:val="004D36B1"/>
    <w:rsid w:val="004D7EBD"/>
    <w:rsid w:val="004E061E"/>
    <w:rsid w:val="004E0ADC"/>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CC1"/>
    <w:rsid w:val="00546970"/>
    <w:rsid w:val="00546F1A"/>
    <w:rsid w:val="005522F3"/>
    <w:rsid w:val="00554E19"/>
    <w:rsid w:val="00560282"/>
    <w:rsid w:val="0056121F"/>
    <w:rsid w:val="00564D0E"/>
    <w:rsid w:val="00572505"/>
    <w:rsid w:val="00573EBC"/>
    <w:rsid w:val="00574098"/>
    <w:rsid w:val="0057613F"/>
    <w:rsid w:val="00582809"/>
    <w:rsid w:val="00585CA6"/>
    <w:rsid w:val="0058798C"/>
    <w:rsid w:val="005900FA"/>
    <w:rsid w:val="00592415"/>
    <w:rsid w:val="005935A4"/>
    <w:rsid w:val="005948C2"/>
    <w:rsid w:val="00595DCA"/>
    <w:rsid w:val="0059604E"/>
    <w:rsid w:val="0059779B"/>
    <w:rsid w:val="005A209A"/>
    <w:rsid w:val="005A662D"/>
    <w:rsid w:val="005B1409"/>
    <w:rsid w:val="005B35D7"/>
    <w:rsid w:val="005B392A"/>
    <w:rsid w:val="005B3AA3"/>
    <w:rsid w:val="005B6F83"/>
    <w:rsid w:val="005C3FE7"/>
    <w:rsid w:val="005C4CD8"/>
    <w:rsid w:val="005C74FB"/>
    <w:rsid w:val="005D0357"/>
    <w:rsid w:val="005D1602"/>
    <w:rsid w:val="005D774E"/>
    <w:rsid w:val="005E25E5"/>
    <w:rsid w:val="005E385F"/>
    <w:rsid w:val="005E5B81"/>
    <w:rsid w:val="005E7A51"/>
    <w:rsid w:val="005F2CB1"/>
    <w:rsid w:val="005F3025"/>
    <w:rsid w:val="005F618C"/>
    <w:rsid w:val="005F70BD"/>
    <w:rsid w:val="005F788C"/>
    <w:rsid w:val="005F7FA7"/>
    <w:rsid w:val="0060283C"/>
    <w:rsid w:val="00604387"/>
    <w:rsid w:val="00604F14"/>
    <w:rsid w:val="00611B83"/>
    <w:rsid w:val="006126BE"/>
    <w:rsid w:val="00612A02"/>
    <w:rsid w:val="00613257"/>
    <w:rsid w:val="00615DDB"/>
    <w:rsid w:val="00616471"/>
    <w:rsid w:val="00620A71"/>
    <w:rsid w:val="00620D80"/>
    <w:rsid w:val="00621BED"/>
    <w:rsid w:val="006234A6"/>
    <w:rsid w:val="00626C82"/>
    <w:rsid w:val="00630001"/>
    <w:rsid w:val="006311B3"/>
    <w:rsid w:val="0063284C"/>
    <w:rsid w:val="00636398"/>
    <w:rsid w:val="006368D3"/>
    <w:rsid w:val="006377EC"/>
    <w:rsid w:val="006403D7"/>
    <w:rsid w:val="0064151F"/>
    <w:rsid w:val="00641533"/>
    <w:rsid w:val="0064208D"/>
    <w:rsid w:val="00643475"/>
    <w:rsid w:val="0064396A"/>
    <w:rsid w:val="0064624E"/>
    <w:rsid w:val="00650AB9"/>
    <w:rsid w:val="00655733"/>
    <w:rsid w:val="00655ACD"/>
    <w:rsid w:val="00656A92"/>
    <w:rsid w:val="00656DDE"/>
    <w:rsid w:val="0066011D"/>
    <w:rsid w:val="006607C0"/>
    <w:rsid w:val="006610F0"/>
    <w:rsid w:val="006613A6"/>
    <w:rsid w:val="0066192C"/>
    <w:rsid w:val="00661B21"/>
    <w:rsid w:val="006627A2"/>
    <w:rsid w:val="006628C3"/>
    <w:rsid w:val="00663245"/>
    <w:rsid w:val="006634E6"/>
    <w:rsid w:val="00664489"/>
    <w:rsid w:val="006655EE"/>
    <w:rsid w:val="00667EE7"/>
    <w:rsid w:val="00670922"/>
    <w:rsid w:val="00670BE1"/>
    <w:rsid w:val="0067218F"/>
    <w:rsid w:val="006741F2"/>
    <w:rsid w:val="0067458B"/>
    <w:rsid w:val="00674CC3"/>
    <w:rsid w:val="00675699"/>
    <w:rsid w:val="00675C72"/>
    <w:rsid w:val="006771F9"/>
    <w:rsid w:val="006776D7"/>
    <w:rsid w:val="00681003"/>
    <w:rsid w:val="006817C9"/>
    <w:rsid w:val="006830DC"/>
    <w:rsid w:val="00683ECE"/>
    <w:rsid w:val="00684A89"/>
    <w:rsid w:val="00684AE2"/>
    <w:rsid w:val="00684B51"/>
    <w:rsid w:val="00685C19"/>
    <w:rsid w:val="00687E60"/>
    <w:rsid w:val="0069258B"/>
    <w:rsid w:val="00695FC2"/>
    <w:rsid w:val="00696949"/>
    <w:rsid w:val="00697052"/>
    <w:rsid w:val="006A46FB"/>
    <w:rsid w:val="006A5CE2"/>
    <w:rsid w:val="006A5E28"/>
    <w:rsid w:val="006A697B"/>
    <w:rsid w:val="006A7AFF"/>
    <w:rsid w:val="006B0B6B"/>
    <w:rsid w:val="006B1816"/>
    <w:rsid w:val="006B1C12"/>
    <w:rsid w:val="006B2099"/>
    <w:rsid w:val="006B2C7D"/>
    <w:rsid w:val="006B2FD3"/>
    <w:rsid w:val="006B50CF"/>
    <w:rsid w:val="006C03B8"/>
    <w:rsid w:val="006C239C"/>
    <w:rsid w:val="006C356B"/>
    <w:rsid w:val="006C5EC9"/>
    <w:rsid w:val="006C6059"/>
    <w:rsid w:val="006C6DAD"/>
    <w:rsid w:val="006C7522"/>
    <w:rsid w:val="006D4949"/>
    <w:rsid w:val="006D6C52"/>
    <w:rsid w:val="006D6F08"/>
    <w:rsid w:val="006E062C"/>
    <w:rsid w:val="006E1C82"/>
    <w:rsid w:val="006E28B7"/>
    <w:rsid w:val="006E2A9B"/>
    <w:rsid w:val="006E3310"/>
    <w:rsid w:val="006E39F7"/>
    <w:rsid w:val="006E4E39"/>
    <w:rsid w:val="006E565E"/>
    <w:rsid w:val="006E673D"/>
    <w:rsid w:val="006E7D3B"/>
    <w:rsid w:val="006F1B70"/>
    <w:rsid w:val="006F341D"/>
    <w:rsid w:val="006F3CDE"/>
    <w:rsid w:val="006F58D4"/>
    <w:rsid w:val="006F5AA0"/>
    <w:rsid w:val="006F6582"/>
    <w:rsid w:val="006F72C2"/>
    <w:rsid w:val="006F7E9C"/>
    <w:rsid w:val="0070346E"/>
    <w:rsid w:val="00703D57"/>
    <w:rsid w:val="007046E8"/>
    <w:rsid w:val="00704EDB"/>
    <w:rsid w:val="00705819"/>
    <w:rsid w:val="00705D63"/>
    <w:rsid w:val="00706101"/>
    <w:rsid w:val="00707072"/>
    <w:rsid w:val="00707D61"/>
    <w:rsid w:val="00712287"/>
    <w:rsid w:val="00712772"/>
    <w:rsid w:val="007148D3"/>
    <w:rsid w:val="00715B9A"/>
    <w:rsid w:val="00722312"/>
    <w:rsid w:val="007257D0"/>
    <w:rsid w:val="00726EA6"/>
    <w:rsid w:val="00727208"/>
    <w:rsid w:val="00727680"/>
    <w:rsid w:val="007348B1"/>
    <w:rsid w:val="007355D2"/>
    <w:rsid w:val="007362A6"/>
    <w:rsid w:val="00736D7D"/>
    <w:rsid w:val="00740A15"/>
    <w:rsid w:val="00740E58"/>
    <w:rsid w:val="007445A0"/>
    <w:rsid w:val="0074524B"/>
    <w:rsid w:val="00745CFC"/>
    <w:rsid w:val="00747D8B"/>
    <w:rsid w:val="00751228"/>
    <w:rsid w:val="00751A70"/>
    <w:rsid w:val="00756421"/>
    <w:rsid w:val="007571E1"/>
    <w:rsid w:val="00757A16"/>
    <w:rsid w:val="007604B2"/>
    <w:rsid w:val="007636B1"/>
    <w:rsid w:val="00764173"/>
    <w:rsid w:val="00765281"/>
    <w:rsid w:val="00766BAD"/>
    <w:rsid w:val="00770363"/>
    <w:rsid w:val="007729A2"/>
    <w:rsid w:val="007755F2"/>
    <w:rsid w:val="00776971"/>
    <w:rsid w:val="00780A80"/>
    <w:rsid w:val="0078177E"/>
    <w:rsid w:val="0078304C"/>
    <w:rsid w:val="00783166"/>
    <w:rsid w:val="00783673"/>
    <w:rsid w:val="00785490"/>
    <w:rsid w:val="00791415"/>
    <w:rsid w:val="007925EA"/>
    <w:rsid w:val="00793CD8"/>
    <w:rsid w:val="00795160"/>
    <w:rsid w:val="00795C92"/>
    <w:rsid w:val="00796231"/>
    <w:rsid w:val="007A1CB3"/>
    <w:rsid w:val="007A306F"/>
    <w:rsid w:val="007A43A6"/>
    <w:rsid w:val="007A58A6"/>
    <w:rsid w:val="007A5F65"/>
    <w:rsid w:val="007B1CBF"/>
    <w:rsid w:val="007B3D2D"/>
    <w:rsid w:val="007B50AE"/>
    <w:rsid w:val="007B51DF"/>
    <w:rsid w:val="007C028F"/>
    <w:rsid w:val="007C05DD"/>
    <w:rsid w:val="007C3D18"/>
    <w:rsid w:val="007C60BF"/>
    <w:rsid w:val="007C638C"/>
    <w:rsid w:val="007C6A07"/>
    <w:rsid w:val="007C75A1"/>
    <w:rsid w:val="007C77A5"/>
    <w:rsid w:val="007C7E9A"/>
    <w:rsid w:val="007D04E5"/>
    <w:rsid w:val="007D5901"/>
    <w:rsid w:val="007D6D63"/>
    <w:rsid w:val="007D7526"/>
    <w:rsid w:val="007E2CF2"/>
    <w:rsid w:val="007E3023"/>
    <w:rsid w:val="007E4610"/>
    <w:rsid w:val="007E4715"/>
    <w:rsid w:val="007E505B"/>
    <w:rsid w:val="007E7091"/>
    <w:rsid w:val="007F030B"/>
    <w:rsid w:val="007F1AE3"/>
    <w:rsid w:val="008034CA"/>
    <w:rsid w:val="00803DC4"/>
    <w:rsid w:val="00803FAE"/>
    <w:rsid w:val="008046EE"/>
    <w:rsid w:val="0080605F"/>
    <w:rsid w:val="00806BE3"/>
    <w:rsid w:val="00807786"/>
    <w:rsid w:val="00811FCB"/>
    <w:rsid w:val="008158D6"/>
    <w:rsid w:val="00817196"/>
    <w:rsid w:val="008235DB"/>
    <w:rsid w:val="00823A01"/>
    <w:rsid w:val="00824551"/>
    <w:rsid w:val="00824AB4"/>
    <w:rsid w:val="0082529F"/>
    <w:rsid w:val="00825C42"/>
    <w:rsid w:val="00825D25"/>
    <w:rsid w:val="00827D6F"/>
    <w:rsid w:val="00832E73"/>
    <w:rsid w:val="008332D6"/>
    <w:rsid w:val="008376AC"/>
    <w:rsid w:val="00843365"/>
    <w:rsid w:val="008444E8"/>
    <w:rsid w:val="00844981"/>
    <w:rsid w:val="00844E80"/>
    <w:rsid w:val="008461C2"/>
    <w:rsid w:val="00846FE7"/>
    <w:rsid w:val="0084782E"/>
    <w:rsid w:val="00847B62"/>
    <w:rsid w:val="0085643E"/>
    <w:rsid w:val="00856911"/>
    <w:rsid w:val="008677FD"/>
    <w:rsid w:val="008706D4"/>
    <w:rsid w:val="00870F8A"/>
    <w:rsid w:val="0087151E"/>
    <w:rsid w:val="008719A4"/>
    <w:rsid w:val="00871C74"/>
    <w:rsid w:val="00871D23"/>
    <w:rsid w:val="00872065"/>
    <w:rsid w:val="00872070"/>
    <w:rsid w:val="00874312"/>
    <w:rsid w:val="0087437C"/>
    <w:rsid w:val="00875CD7"/>
    <w:rsid w:val="00876B4D"/>
    <w:rsid w:val="00877F18"/>
    <w:rsid w:val="00882983"/>
    <w:rsid w:val="00890C24"/>
    <w:rsid w:val="00893CC1"/>
    <w:rsid w:val="008941E3"/>
    <w:rsid w:val="00894A88"/>
    <w:rsid w:val="00895386"/>
    <w:rsid w:val="008A21FF"/>
    <w:rsid w:val="008A2CE2"/>
    <w:rsid w:val="008A30AC"/>
    <w:rsid w:val="008A44B8"/>
    <w:rsid w:val="008A51A8"/>
    <w:rsid w:val="008A54C7"/>
    <w:rsid w:val="008A771C"/>
    <w:rsid w:val="008A77D8"/>
    <w:rsid w:val="008B0483"/>
    <w:rsid w:val="008B120C"/>
    <w:rsid w:val="008B28E4"/>
    <w:rsid w:val="008B51A0"/>
    <w:rsid w:val="008B592A"/>
    <w:rsid w:val="008B7B5C"/>
    <w:rsid w:val="008C0C99"/>
    <w:rsid w:val="008C2017"/>
    <w:rsid w:val="008C3F80"/>
    <w:rsid w:val="008C4958"/>
    <w:rsid w:val="008C4BAA"/>
    <w:rsid w:val="008C6AE8"/>
    <w:rsid w:val="008C7573"/>
    <w:rsid w:val="008D00A5"/>
    <w:rsid w:val="008D2B7D"/>
    <w:rsid w:val="008D34D4"/>
    <w:rsid w:val="008D34F1"/>
    <w:rsid w:val="008D39D8"/>
    <w:rsid w:val="008D6252"/>
    <w:rsid w:val="008D6D1A"/>
    <w:rsid w:val="008E065E"/>
    <w:rsid w:val="008E0927"/>
    <w:rsid w:val="008E1909"/>
    <w:rsid w:val="008E3F3E"/>
    <w:rsid w:val="008F1EAB"/>
    <w:rsid w:val="008F33DC"/>
    <w:rsid w:val="008F477F"/>
    <w:rsid w:val="00902350"/>
    <w:rsid w:val="0090336B"/>
    <w:rsid w:val="009053AA"/>
    <w:rsid w:val="00906939"/>
    <w:rsid w:val="009108CA"/>
    <w:rsid w:val="00910B7D"/>
    <w:rsid w:val="00911DFB"/>
    <w:rsid w:val="009139D9"/>
    <w:rsid w:val="00914AD8"/>
    <w:rsid w:val="00916079"/>
    <w:rsid w:val="00917CE9"/>
    <w:rsid w:val="00920BF2"/>
    <w:rsid w:val="00922010"/>
    <w:rsid w:val="00931BD9"/>
    <w:rsid w:val="009368F3"/>
    <w:rsid w:val="00941636"/>
    <w:rsid w:val="00943742"/>
    <w:rsid w:val="0094513B"/>
    <w:rsid w:val="00945C05"/>
    <w:rsid w:val="00946945"/>
    <w:rsid w:val="00947713"/>
    <w:rsid w:val="00950DE7"/>
    <w:rsid w:val="00953920"/>
    <w:rsid w:val="00953D47"/>
    <w:rsid w:val="0095533A"/>
    <w:rsid w:val="009557B3"/>
    <w:rsid w:val="0095681E"/>
    <w:rsid w:val="009572D4"/>
    <w:rsid w:val="00961921"/>
    <w:rsid w:val="00962BFE"/>
    <w:rsid w:val="0096430A"/>
    <w:rsid w:val="0096554B"/>
    <w:rsid w:val="0096584A"/>
    <w:rsid w:val="00967A52"/>
    <w:rsid w:val="00971F08"/>
    <w:rsid w:val="0097603D"/>
    <w:rsid w:val="00976949"/>
    <w:rsid w:val="00976FFE"/>
    <w:rsid w:val="00980477"/>
    <w:rsid w:val="00981661"/>
    <w:rsid w:val="00982257"/>
    <w:rsid w:val="00983BB8"/>
    <w:rsid w:val="00984670"/>
    <w:rsid w:val="00985253"/>
    <w:rsid w:val="009853B3"/>
    <w:rsid w:val="00990630"/>
    <w:rsid w:val="00991761"/>
    <w:rsid w:val="00994DCA"/>
    <w:rsid w:val="009960EC"/>
    <w:rsid w:val="009970DD"/>
    <w:rsid w:val="009A0FBA"/>
    <w:rsid w:val="009A1601"/>
    <w:rsid w:val="009A3BB6"/>
    <w:rsid w:val="009A41FC"/>
    <w:rsid w:val="009A462D"/>
    <w:rsid w:val="009A521A"/>
    <w:rsid w:val="009A5CBA"/>
    <w:rsid w:val="009B1F30"/>
    <w:rsid w:val="009B29E1"/>
    <w:rsid w:val="009B3AC2"/>
    <w:rsid w:val="009B4DF4"/>
    <w:rsid w:val="009B564E"/>
    <w:rsid w:val="009B6207"/>
    <w:rsid w:val="009B7E87"/>
    <w:rsid w:val="009C0169"/>
    <w:rsid w:val="009C01A0"/>
    <w:rsid w:val="009C0789"/>
    <w:rsid w:val="009C126F"/>
    <w:rsid w:val="009C403E"/>
    <w:rsid w:val="009C42D4"/>
    <w:rsid w:val="009D4FF0"/>
    <w:rsid w:val="009D703C"/>
    <w:rsid w:val="009D718F"/>
    <w:rsid w:val="009D7652"/>
    <w:rsid w:val="009E068F"/>
    <w:rsid w:val="009E14E0"/>
    <w:rsid w:val="009E35DB"/>
    <w:rsid w:val="009E47A3"/>
    <w:rsid w:val="009F06BA"/>
    <w:rsid w:val="009F08F3"/>
    <w:rsid w:val="009F344F"/>
    <w:rsid w:val="00A031D8"/>
    <w:rsid w:val="00A0332E"/>
    <w:rsid w:val="00A03725"/>
    <w:rsid w:val="00A048A8"/>
    <w:rsid w:val="00A04F49"/>
    <w:rsid w:val="00A13AB2"/>
    <w:rsid w:val="00A13E54"/>
    <w:rsid w:val="00A16500"/>
    <w:rsid w:val="00A17F63"/>
    <w:rsid w:val="00A2193B"/>
    <w:rsid w:val="00A2351A"/>
    <w:rsid w:val="00A264A9"/>
    <w:rsid w:val="00A26DCF"/>
    <w:rsid w:val="00A27785"/>
    <w:rsid w:val="00A30187"/>
    <w:rsid w:val="00A3448A"/>
    <w:rsid w:val="00A36297"/>
    <w:rsid w:val="00A41E2B"/>
    <w:rsid w:val="00A45B74"/>
    <w:rsid w:val="00A52E1D"/>
    <w:rsid w:val="00A54CD5"/>
    <w:rsid w:val="00A61499"/>
    <w:rsid w:val="00A62A77"/>
    <w:rsid w:val="00A63483"/>
    <w:rsid w:val="00A657D7"/>
    <w:rsid w:val="00A660AC"/>
    <w:rsid w:val="00A67E6C"/>
    <w:rsid w:val="00A71B99"/>
    <w:rsid w:val="00A71E39"/>
    <w:rsid w:val="00A739D0"/>
    <w:rsid w:val="00A761D4"/>
    <w:rsid w:val="00A77EC4"/>
    <w:rsid w:val="00A815A8"/>
    <w:rsid w:val="00A8423D"/>
    <w:rsid w:val="00A9011C"/>
    <w:rsid w:val="00A92879"/>
    <w:rsid w:val="00A94007"/>
    <w:rsid w:val="00A9442A"/>
    <w:rsid w:val="00A9583C"/>
    <w:rsid w:val="00A95AB6"/>
    <w:rsid w:val="00AA016F"/>
    <w:rsid w:val="00AA1ED6"/>
    <w:rsid w:val="00AA51D6"/>
    <w:rsid w:val="00AA63BF"/>
    <w:rsid w:val="00AB0BC8"/>
    <w:rsid w:val="00AB11CA"/>
    <w:rsid w:val="00AB14D9"/>
    <w:rsid w:val="00AB4AB8"/>
    <w:rsid w:val="00AB655E"/>
    <w:rsid w:val="00AC007F"/>
    <w:rsid w:val="00AC2ECD"/>
    <w:rsid w:val="00AC3119"/>
    <w:rsid w:val="00AC49FB"/>
    <w:rsid w:val="00AC5A10"/>
    <w:rsid w:val="00AC5B5D"/>
    <w:rsid w:val="00AD0AA3"/>
    <w:rsid w:val="00AD3F94"/>
    <w:rsid w:val="00AD4A5A"/>
    <w:rsid w:val="00AE27AC"/>
    <w:rsid w:val="00AE40E0"/>
    <w:rsid w:val="00AE4DBA"/>
    <w:rsid w:val="00AE4F07"/>
    <w:rsid w:val="00AF0816"/>
    <w:rsid w:val="00AF085D"/>
    <w:rsid w:val="00AF1C5D"/>
    <w:rsid w:val="00AF42D7"/>
    <w:rsid w:val="00B006FE"/>
    <w:rsid w:val="00B007CB"/>
    <w:rsid w:val="00B00A85"/>
    <w:rsid w:val="00B02AA9"/>
    <w:rsid w:val="00B02FA3"/>
    <w:rsid w:val="00B0382A"/>
    <w:rsid w:val="00B05084"/>
    <w:rsid w:val="00B113EB"/>
    <w:rsid w:val="00B157F9"/>
    <w:rsid w:val="00B20256"/>
    <w:rsid w:val="00B20D09"/>
    <w:rsid w:val="00B21F23"/>
    <w:rsid w:val="00B2763F"/>
    <w:rsid w:val="00B27AAC"/>
    <w:rsid w:val="00B30929"/>
    <w:rsid w:val="00B361BB"/>
    <w:rsid w:val="00B372AA"/>
    <w:rsid w:val="00B40445"/>
    <w:rsid w:val="00B409E0"/>
    <w:rsid w:val="00B41888"/>
    <w:rsid w:val="00B427B9"/>
    <w:rsid w:val="00B45A52"/>
    <w:rsid w:val="00B46175"/>
    <w:rsid w:val="00B46555"/>
    <w:rsid w:val="00B47835"/>
    <w:rsid w:val="00B504A2"/>
    <w:rsid w:val="00B548B7"/>
    <w:rsid w:val="00B6240C"/>
    <w:rsid w:val="00B64679"/>
    <w:rsid w:val="00B664C7"/>
    <w:rsid w:val="00B739F6"/>
    <w:rsid w:val="00B73EEE"/>
    <w:rsid w:val="00B80BE9"/>
    <w:rsid w:val="00B81A6C"/>
    <w:rsid w:val="00B823BD"/>
    <w:rsid w:val="00B84083"/>
    <w:rsid w:val="00B85DE5"/>
    <w:rsid w:val="00B90F73"/>
    <w:rsid w:val="00B91CEB"/>
    <w:rsid w:val="00B93B59"/>
    <w:rsid w:val="00B9406A"/>
    <w:rsid w:val="00BA2280"/>
    <w:rsid w:val="00BA2A08"/>
    <w:rsid w:val="00BA56D2"/>
    <w:rsid w:val="00BA76E0"/>
    <w:rsid w:val="00BB005F"/>
    <w:rsid w:val="00BB2A25"/>
    <w:rsid w:val="00BB51E9"/>
    <w:rsid w:val="00BC0FDC"/>
    <w:rsid w:val="00BC25C6"/>
    <w:rsid w:val="00BC3053"/>
    <w:rsid w:val="00BC4D2E"/>
    <w:rsid w:val="00BD43CB"/>
    <w:rsid w:val="00BD48AC"/>
    <w:rsid w:val="00BD5B5F"/>
    <w:rsid w:val="00BD5F1A"/>
    <w:rsid w:val="00BE1234"/>
    <w:rsid w:val="00BE1ED4"/>
    <w:rsid w:val="00BE2FA6"/>
    <w:rsid w:val="00BE333F"/>
    <w:rsid w:val="00BE7406"/>
    <w:rsid w:val="00BE7603"/>
    <w:rsid w:val="00BF040F"/>
    <w:rsid w:val="00BF3279"/>
    <w:rsid w:val="00BF74C7"/>
    <w:rsid w:val="00C015F1"/>
    <w:rsid w:val="00C01F33"/>
    <w:rsid w:val="00C02CC6"/>
    <w:rsid w:val="00C038EB"/>
    <w:rsid w:val="00C040F7"/>
    <w:rsid w:val="00C044AB"/>
    <w:rsid w:val="00C05706"/>
    <w:rsid w:val="00C06DEE"/>
    <w:rsid w:val="00C07377"/>
    <w:rsid w:val="00C10478"/>
    <w:rsid w:val="00C12107"/>
    <w:rsid w:val="00C14D4B"/>
    <w:rsid w:val="00C154BB"/>
    <w:rsid w:val="00C1601A"/>
    <w:rsid w:val="00C21AF5"/>
    <w:rsid w:val="00C22AE3"/>
    <w:rsid w:val="00C24B18"/>
    <w:rsid w:val="00C268E6"/>
    <w:rsid w:val="00C26F9F"/>
    <w:rsid w:val="00C27074"/>
    <w:rsid w:val="00C279B5"/>
    <w:rsid w:val="00C27C45"/>
    <w:rsid w:val="00C30F0F"/>
    <w:rsid w:val="00C34200"/>
    <w:rsid w:val="00C3719D"/>
    <w:rsid w:val="00C372D2"/>
    <w:rsid w:val="00C373CF"/>
    <w:rsid w:val="00C37CB2"/>
    <w:rsid w:val="00C42C47"/>
    <w:rsid w:val="00C473A5"/>
    <w:rsid w:val="00C54995"/>
    <w:rsid w:val="00C54D41"/>
    <w:rsid w:val="00C60783"/>
    <w:rsid w:val="00C62373"/>
    <w:rsid w:val="00C64672"/>
    <w:rsid w:val="00C70697"/>
    <w:rsid w:val="00C72093"/>
    <w:rsid w:val="00C72EF4"/>
    <w:rsid w:val="00C744FE"/>
    <w:rsid w:val="00C75D2F"/>
    <w:rsid w:val="00C767BE"/>
    <w:rsid w:val="00C76E3C"/>
    <w:rsid w:val="00C8106C"/>
    <w:rsid w:val="00C81568"/>
    <w:rsid w:val="00C86B37"/>
    <w:rsid w:val="00C9027A"/>
    <w:rsid w:val="00C9068E"/>
    <w:rsid w:val="00C92DE9"/>
    <w:rsid w:val="00C93814"/>
    <w:rsid w:val="00C93C4B"/>
    <w:rsid w:val="00C944AB"/>
    <w:rsid w:val="00C95B40"/>
    <w:rsid w:val="00C96C09"/>
    <w:rsid w:val="00CA1ED8"/>
    <w:rsid w:val="00CA4650"/>
    <w:rsid w:val="00CA56DB"/>
    <w:rsid w:val="00CB1F63"/>
    <w:rsid w:val="00CB7170"/>
    <w:rsid w:val="00CC040E"/>
    <w:rsid w:val="00CC111F"/>
    <w:rsid w:val="00CC16CF"/>
    <w:rsid w:val="00CC2011"/>
    <w:rsid w:val="00CC2C68"/>
    <w:rsid w:val="00CC3EA0"/>
    <w:rsid w:val="00CC7B45"/>
    <w:rsid w:val="00CD1188"/>
    <w:rsid w:val="00CD2BE9"/>
    <w:rsid w:val="00CD2ED1"/>
    <w:rsid w:val="00CD337B"/>
    <w:rsid w:val="00CE0424"/>
    <w:rsid w:val="00CE2244"/>
    <w:rsid w:val="00CE7561"/>
    <w:rsid w:val="00CF1354"/>
    <w:rsid w:val="00CF3B1F"/>
    <w:rsid w:val="00CF3BF6"/>
    <w:rsid w:val="00CF5BA2"/>
    <w:rsid w:val="00CF625B"/>
    <w:rsid w:val="00CF687E"/>
    <w:rsid w:val="00D03492"/>
    <w:rsid w:val="00D0349B"/>
    <w:rsid w:val="00D10249"/>
    <w:rsid w:val="00D115C3"/>
    <w:rsid w:val="00D11897"/>
    <w:rsid w:val="00D12615"/>
    <w:rsid w:val="00D13135"/>
    <w:rsid w:val="00D13E4E"/>
    <w:rsid w:val="00D15B02"/>
    <w:rsid w:val="00D239A7"/>
    <w:rsid w:val="00D23F47"/>
    <w:rsid w:val="00D26B3C"/>
    <w:rsid w:val="00D273B4"/>
    <w:rsid w:val="00D30AC7"/>
    <w:rsid w:val="00D36E71"/>
    <w:rsid w:val="00D37D87"/>
    <w:rsid w:val="00D40B33"/>
    <w:rsid w:val="00D4318F"/>
    <w:rsid w:val="00D438BF"/>
    <w:rsid w:val="00D440F8"/>
    <w:rsid w:val="00D5239A"/>
    <w:rsid w:val="00D546FF"/>
    <w:rsid w:val="00D55AD5"/>
    <w:rsid w:val="00D576CA"/>
    <w:rsid w:val="00D61AF5"/>
    <w:rsid w:val="00D64C02"/>
    <w:rsid w:val="00D652B5"/>
    <w:rsid w:val="00D66155"/>
    <w:rsid w:val="00D70239"/>
    <w:rsid w:val="00D70521"/>
    <w:rsid w:val="00D708B0"/>
    <w:rsid w:val="00D72970"/>
    <w:rsid w:val="00D73263"/>
    <w:rsid w:val="00D75205"/>
    <w:rsid w:val="00D776E1"/>
    <w:rsid w:val="00D77B1D"/>
    <w:rsid w:val="00D8021F"/>
    <w:rsid w:val="00D80383"/>
    <w:rsid w:val="00D823C6"/>
    <w:rsid w:val="00D8327F"/>
    <w:rsid w:val="00D8396B"/>
    <w:rsid w:val="00D86124"/>
    <w:rsid w:val="00D86CA3"/>
    <w:rsid w:val="00D871CE"/>
    <w:rsid w:val="00D87535"/>
    <w:rsid w:val="00D9196D"/>
    <w:rsid w:val="00D92329"/>
    <w:rsid w:val="00D92982"/>
    <w:rsid w:val="00D95317"/>
    <w:rsid w:val="00D96477"/>
    <w:rsid w:val="00D97523"/>
    <w:rsid w:val="00DA1971"/>
    <w:rsid w:val="00DA305E"/>
    <w:rsid w:val="00DA5417"/>
    <w:rsid w:val="00DA56E8"/>
    <w:rsid w:val="00DA654F"/>
    <w:rsid w:val="00DA6F39"/>
    <w:rsid w:val="00DB0A9F"/>
    <w:rsid w:val="00DB377D"/>
    <w:rsid w:val="00DC2401"/>
    <w:rsid w:val="00DC2D36"/>
    <w:rsid w:val="00DC53EF"/>
    <w:rsid w:val="00DC5C96"/>
    <w:rsid w:val="00DD0340"/>
    <w:rsid w:val="00DD2DE6"/>
    <w:rsid w:val="00DD4460"/>
    <w:rsid w:val="00DD5F40"/>
    <w:rsid w:val="00DE1DBA"/>
    <w:rsid w:val="00DE5608"/>
    <w:rsid w:val="00DE58D0"/>
    <w:rsid w:val="00DE61B5"/>
    <w:rsid w:val="00DE654F"/>
    <w:rsid w:val="00DF0B6E"/>
    <w:rsid w:val="00DF15E0"/>
    <w:rsid w:val="00DF37A0"/>
    <w:rsid w:val="00DF4FA2"/>
    <w:rsid w:val="00DF5030"/>
    <w:rsid w:val="00E00D16"/>
    <w:rsid w:val="00E10F3A"/>
    <w:rsid w:val="00E110E7"/>
    <w:rsid w:val="00E11B20"/>
    <w:rsid w:val="00E12664"/>
    <w:rsid w:val="00E134DF"/>
    <w:rsid w:val="00E17FA2"/>
    <w:rsid w:val="00E22330"/>
    <w:rsid w:val="00E2686B"/>
    <w:rsid w:val="00E26E97"/>
    <w:rsid w:val="00E3037A"/>
    <w:rsid w:val="00E30732"/>
    <w:rsid w:val="00E30B5A"/>
    <w:rsid w:val="00E3123D"/>
    <w:rsid w:val="00E31461"/>
    <w:rsid w:val="00E31D43"/>
    <w:rsid w:val="00E32608"/>
    <w:rsid w:val="00E33300"/>
    <w:rsid w:val="00E34188"/>
    <w:rsid w:val="00E34A08"/>
    <w:rsid w:val="00E34B6E"/>
    <w:rsid w:val="00E352EF"/>
    <w:rsid w:val="00E35559"/>
    <w:rsid w:val="00E35746"/>
    <w:rsid w:val="00E3723A"/>
    <w:rsid w:val="00E37860"/>
    <w:rsid w:val="00E37862"/>
    <w:rsid w:val="00E446F1"/>
    <w:rsid w:val="00E46296"/>
    <w:rsid w:val="00E46886"/>
    <w:rsid w:val="00E47AEF"/>
    <w:rsid w:val="00E50EBC"/>
    <w:rsid w:val="00E53A26"/>
    <w:rsid w:val="00E53B75"/>
    <w:rsid w:val="00E54E3B"/>
    <w:rsid w:val="00E57565"/>
    <w:rsid w:val="00E6155A"/>
    <w:rsid w:val="00E620AD"/>
    <w:rsid w:val="00E63838"/>
    <w:rsid w:val="00E64434"/>
    <w:rsid w:val="00E6763B"/>
    <w:rsid w:val="00E67C51"/>
    <w:rsid w:val="00E70729"/>
    <w:rsid w:val="00E72125"/>
    <w:rsid w:val="00E72EFC"/>
    <w:rsid w:val="00E758EC"/>
    <w:rsid w:val="00E80BE9"/>
    <w:rsid w:val="00E81305"/>
    <w:rsid w:val="00E8234C"/>
    <w:rsid w:val="00E83AA9"/>
    <w:rsid w:val="00E85356"/>
    <w:rsid w:val="00E85928"/>
    <w:rsid w:val="00E87822"/>
    <w:rsid w:val="00E90395"/>
    <w:rsid w:val="00E90E49"/>
    <w:rsid w:val="00E917F9"/>
    <w:rsid w:val="00E9291C"/>
    <w:rsid w:val="00E93FFE"/>
    <w:rsid w:val="00E94F8A"/>
    <w:rsid w:val="00EA2379"/>
    <w:rsid w:val="00EA7A41"/>
    <w:rsid w:val="00EB077B"/>
    <w:rsid w:val="00EB1E36"/>
    <w:rsid w:val="00EB2317"/>
    <w:rsid w:val="00EB4EA2"/>
    <w:rsid w:val="00EB5211"/>
    <w:rsid w:val="00EB5A4E"/>
    <w:rsid w:val="00EC0853"/>
    <w:rsid w:val="00EC09FE"/>
    <w:rsid w:val="00EC24D5"/>
    <w:rsid w:val="00EC27C6"/>
    <w:rsid w:val="00EC4207"/>
    <w:rsid w:val="00EC4644"/>
    <w:rsid w:val="00EC5234"/>
    <w:rsid w:val="00EC5653"/>
    <w:rsid w:val="00EC58FF"/>
    <w:rsid w:val="00EC71CE"/>
    <w:rsid w:val="00ED1006"/>
    <w:rsid w:val="00EE5F9C"/>
    <w:rsid w:val="00EF09F7"/>
    <w:rsid w:val="00EF18FE"/>
    <w:rsid w:val="00EF5787"/>
    <w:rsid w:val="00EF60D0"/>
    <w:rsid w:val="00F00373"/>
    <w:rsid w:val="00F0528D"/>
    <w:rsid w:val="00F068F2"/>
    <w:rsid w:val="00F06C67"/>
    <w:rsid w:val="00F06DFD"/>
    <w:rsid w:val="00F071D1"/>
    <w:rsid w:val="00F07533"/>
    <w:rsid w:val="00F07FBF"/>
    <w:rsid w:val="00F10629"/>
    <w:rsid w:val="00F12B0F"/>
    <w:rsid w:val="00F15FA5"/>
    <w:rsid w:val="00F16DCF"/>
    <w:rsid w:val="00F209B7"/>
    <w:rsid w:val="00F20CAB"/>
    <w:rsid w:val="00F20F5C"/>
    <w:rsid w:val="00F2247B"/>
    <w:rsid w:val="00F22FAE"/>
    <w:rsid w:val="00F2376F"/>
    <w:rsid w:val="00F243D8"/>
    <w:rsid w:val="00F24688"/>
    <w:rsid w:val="00F30828"/>
    <w:rsid w:val="00F309F7"/>
    <w:rsid w:val="00F313D6"/>
    <w:rsid w:val="00F36B0F"/>
    <w:rsid w:val="00F40F0C"/>
    <w:rsid w:val="00F425F2"/>
    <w:rsid w:val="00F4766C"/>
    <w:rsid w:val="00F5060E"/>
    <w:rsid w:val="00F507D1"/>
    <w:rsid w:val="00F519CE"/>
    <w:rsid w:val="00F51ADA"/>
    <w:rsid w:val="00F51FBA"/>
    <w:rsid w:val="00F60203"/>
    <w:rsid w:val="00F607C5"/>
    <w:rsid w:val="00F60DEA"/>
    <w:rsid w:val="00F6302A"/>
    <w:rsid w:val="00F63950"/>
    <w:rsid w:val="00F63E9A"/>
    <w:rsid w:val="00F64C2B"/>
    <w:rsid w:val="00F651BE"/>
    <w:rsid w:val="00F66436"/>
    <w:rsid w:val="00F67F53"/>
    <w:rsid w:val="00F703BE"/>
    <w:rsid w:val="00F71C0A"/>
    <w:rsid w:val="00F71F69"/>
    <w:rsid w:val="00F72B72"/>
    <w:rsid w:val="00F74BB9"/>
    <w:rsid w:val="00F75582"/>
    <w:rsid w:val="00F76EFA"/>
    <w:rsid w:val="00F804BE"/>
    <w:rsid w:val="00F817CE"/>
    <w:rsid w:val="00F8213A"/>
    <w:rsid w:val="00F83D40"/>
    <w:rsid w:val="00F8456C"/>
    <w:rsid w:val="00F85820"/>
    <w:rsid w:val="00F859D8"/>
    <w:rsid w:val="00F868F5"/>
    <w:rsid w:val="00F9056A"/>
    <w:rsid w:val="00F90F8D"/>
    <w:rsid w:val="00F92782"/>
    <w:rsid w:val="00F93AA9"/>
    <w:rsid w:val="00F96985"/>
    <w:rsid w:val="00F97838"/>
    <w:rsid w:val="00FA0BC1"/>
    <w:rsid w:val="00FA2BB3"/>
    <w:rsid w:val="00FA4C63"/>
    <w:rsid w:val="00FA5AD7"/>
    <w:rsid w:val="00FB1AE1"/>
    <w:rsid w:val="00FB1F28"/>
    <w:rsid w:val="00FB2ED5"/>
    <w:rsid w:val="00FB4C80"/>
    <w:rsid w:val="00FB5AB8"/>
    <w:rsid w:val="00FB6A6A"/>
    <w:rsid w:val="00FC7429"/>
    <w:rsid w:val="00FD07F6"/>
    <w:rsid w:val="00FD1EC8"/>
    <w:rsid w:val="00FD2132"/>
    <w:rsid w:val="00FD3EB7"/>
    <w:rsid w:val="00FD47ED"/>
    <w:rsid w:val="00FD74DB"/>
    <w:rsid w:val="00FD7660"/>
    <w:rsid w:val="00FE0655"/>
    <w:rsid w:val="00FE2351"/>
    <w:rsid w:val="00FE2365"/>
    <w:rsid w:val="00FE37D7"/>
    <w:rsid w:val="00FE4C7B"/>
    <w:rsid w:val="00FE7336"/>
    <w:rsid w:val="00FE787C"/>
    <w:rsid w:val="00FF001B"/>
    <w:rsid w:val="00FF10DD"/>
    <w:rsid w:val="00FF2A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77A16E"/>
  <w15:chartTrackingRefBased/>
  <w15:docId w15:val="{229E7125-EAD1-4703-B03B-F7D83C30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character" w:customStyle="1" w:styleId="normaltextrun">
    <w:name w:val="normaltextrun"/>
    <w:basedOn w:val="DefaultParagraphFont"/>
    <w:rsid w:val="00F20CAB"/>
  </w:style>
  <w:style w:type="character" w:customStyle="1" w:styleId="eop">
    <w:name w:val="eop"/>
    <w:basedOn w:val="DefaultParagraphFont"/>
    <w:rsid w:val="00F20CAB"/>
  </w:style>
  <w:style w:type="paragraph" w:styleId="Revision">
    <w:name w:val="Revision"/>
    <w:hidden/>
    <w:uiPriority w:val="99"/>
    <w:semiHidden/>
    <w:rsid w:val="00C27074"/>
    <w:rPr>
      <w:rFonts w:ascii="Times New Roman" w:hAnsi="Times New Roman"/>
      <w:lang w:eastAsia="ja-JP"/>
    </w:rPr>
  </w:style>
  <w:style w:type="paragraph" w:customStyle="1" w:styleId="Agreement">
    <w:name w:val="Agreement"/>
    <w:basedOn w:val="Normal"/>
    <w:next w:val="Normal"/>
    <w:qFormat/>
    <w:rsid w:val="00FA5AD7"/>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uiPriority w:val="99"/>
    <w:qFormat/>
    <w:rsid w:val="006644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Normal"/>
    <w:next w:val="Doc-text2"/>
    <w:link w:val="Doc-titleChar"/>
    <w:qFormat/>
    <w:rsid w:val="009A41F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A41FC"/>
    <w:rPr>
      <w:rFonts w:ascii="Arial" w:eastAsia="MS Mincho" w:hAnsi="Arial"/>
      <w:noProof/>
      <w:szCs w:val="24"/>
    </w:rPr>
  </w:style>
  <w:style w:type="paragraph" w:customStyle="1" w:styleId="Comments">
    <w:name w:val="Comments"/>
    <w:basedOn w:val="Normal"/>
    <w:link w:val="CommentsChar"/>
    <w:qFormat/>
    <w:rsid w:val="009A41F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9A41FC"/>
    <w:rPr>
      <w:rFonts w:ascii="Arial" w:eastAsia="MS Mincho" w:hAnsi="Arial"/>
      <w:i/>
      <w:noProof/>
      <w:sz w:val="18"/>
      <w:szCs w:val="24"/>
    </w:rPr>
  </w:style>
  <w:style w:type="table" w:customStyle="1" w:styleId="TableGrid1">
    <w:name w:val="Table Grid1"/>
    <w:basedOn w:val="TableNormal"/>
    <w:next w:val="TableGrid"/>
    <w:rsid w:val="00171A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EC58FF"/>
    <w:rPr>
      <w:lang w:eastAsia="en-US"/>
    </w:rPr>
  </w:style>
  <w:style w:type="character" w:customStyle="1" w:styleId="B3Char">
    <w:name w:val="B3 Char"/>
    <w:locked/>
    <w:rsid w:val="00EC58FF"/>
    <w:rPr>
      <w:lang w:eastAsia="en-US"/>
    </w:rPr>
  </w:style>
  <w:style w:type="paragraph" w:styleId="NormalWeb">
    <w:name w:val="Normal (Web)"/>
    <w:basedOn w:val="Normal"/>
    <w:uiPriority w:val="99"/>
    <w:unhideWhenUsed/>
    <w:rsid w:val="00871C74"/>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6553">
      <w:bodyDiv w:val="1"/>
      <w:marLeft w:val="0"/>
      <w:marRight w:val="0"/>
      <w:marTop w:val="0"/>
      <w:marBottom w:val="0"/>
      <w:divBdr>
        <w:top w:val="none" w:sz="0" w:space="0" w:color="auto"/>
        <w:left w:val="none" w:sz="0" w:space="0" w:color="auto"/>
        <w:bottom w:val="none" w:sz="0" w:space="0" w:color="auto"/>
        <w:right w:val="none" w:sz="0" w:space="0" w:color="auto"/>
      </w:divBdr>
    </w:div>
    <w:div w:id="138039402">
      <w:bodyDiv w:val="1"/>
      <w:marLeft w:val="0"/>
      <w:marRight w:val="0"/>
      <w:marTop w:val="0"/>
      <w:marBottom w:val="0"/>
      <w:divBdr>
        <w:top w:val="none" w:sz="0" w:space="0" w:color="auto"/>
        <w:left w:val="none" w:sz="0" w:space="0" w:color="auto"/>
        <w:bottom w:val="none" w:sz="0" w:space="0" w:color="auto"/>
        <w:right w:val="none" w:sz="0" w:space="0" w:color="auto"/>
      </w:divBdr>
    </w:div>
    <w:div w:id="229966359">
      <w:bodyDiv w:val="1"/>
      <w:marLeft w:val="0"/>
      <w:marRight w:val="0"/>
      <w:marTop w:val="0"/>
      <w:marBottom w:val="0"/>
      <w:divBdr>
        <w:top w:val="none" w:sz="0" w:space="0" w:color="auto"/>
        <w:left w:val="none" w:sz="0" w:space="0" w:color="auto"/>
        <w:bottom w:val="none" w:sz="0" w:space="0" w:color="auto"/>
        <w:right w:val="none" w:sz="0" w:space="0" w:color="auto"/>
      </w:divBdr>
    </w:div>
    <w:div w:id="255985749">
      <w:bodyDiv w:val="1"/>
      <w:marLeft w:val="0"/>
      <w:marRight w:val="0"/>
      <w:marTop w:val="0"/>
      <w:marBottom w:val="0"/>
      <w:divBdr>
        <w:top w:val="none" w:sz="0" w:space="0" w:color="auto"/>
        <w:left w:val="none" w:sz="0" w:space="0" w:color="auto"/>
        <w:bottom w:val="none" w:sz="0" w:space="0" w:color="auto"/>
        <w:right w:val="none" w:sz="0" w:space="0" w:color="auto"/>
      </w:divBdr>
    </w:div>
    <w:div w:id="311058229">
      <w:bodyDiv w:val="1"/>
      <w:marLeft w:val="0"/>
      <w:marRight w:val="0"/>
      <w:marTop w:val="0"/>
      <w:marBottom w:val="0"/>
      <w:divBdr>
        <w:top w:val="none" w:sz="0" w:space="0" w:color="auto"/>
        <w:left w:val="none" w:sz="0" w:space="0" w:color="auto"/>
        <w:bottom w:val="none" w:sz="0" w:space="0" w:color="auto"/>
        <w:right w:val="none" w:sz="0" w:space="0" w:color="auto"/>
      </w:divBdr>
    </w:div>
    <w:div w:id="326829134">
      <w:bodyDiv w:val="1"/>
      <w:marLeft w:val="0"/>
      <w:marRight w:val="0"/>
      <w:marTop w:val="0"/>
      <w:marBottom w:val="0"/>
      <w:divBdr>
        <w:top w:val="none" w:sz="0" w:space="0" w:color="auto"/>
        <w:left w:val="none" w:sz="0" w:space="0" w:color="auto"/>
        <w:bottom w:val="none" w:sz="0" w:space="0" w:color="auto"/>
        <w:right w:val="none" w:sz="0" w:space="0" w:color="auto"/>
      </w:divBdr>
    </w:div>
    <w:div w:id="661659041">
      <w:bodyDiv w:val="1"/>
      <w:marLeft w:val="0"/>
      <w:marRight w:val="0"/>
      <w:marTop w:val="0"/>
      <w:marBottom w:val="0"/>
      <w:divBdr>
        <w:top w:val="none" w:sz="0" w:space="0" w:color="auto"/>
        <w:left w:val="none" w:sz="0" w:space="0" w:color="auto"/>
        <w:bottom w:val="none" w:sz="0" w:space="0" w:color="auto"/>
        <w:right w:val="none" w:sz="0" w:space="0" w:color="auto"/>
      </w:divBdr>
    </w:div>
    <w:div w:id="683357865">
      <w:bodyDiv w:val="1"/>
      <w:marLeft w:val="0"/>
      <w:marRight w:val="0"/>
      <w:marTop w:val="0"/>
      <w:marBottom w:val="0"/>
      <w:divBdr>
        <w:top w:val="none" w:sz="0" w:space="0" w:color="auto"/>
        <w:left w:val="none" w:sz="0" w:space="0" w:color="auto"/>
        <w:bottom w:val="none" w:sz="0" w:space="0" w:color="auto"/>
        <w:right w:val="none" w:sz="0" w:space="0" w:color="auto"/>
      </w:divBdr>
    </w:div>
    <w:div w:id="842209747">
      <w:bodyDiv w:val="1"/>
      <w:marLeft w:val="0"/>
      <w:marRight w:val="0"/>
      <w:marTop w:val="0"/>
      <w:marBottom w:val="0"/>
      <w:divBdr>
        <w:top w:val="none" w:sz="0" w:space="0" w:color="auto"/>
        <w:left w:val="none" w:sz="0" w:space="0" w:color="auto"/>
        <w:bottom w:val="none" w:sz="0" w:space="0" w:color="auto"/>
        <w:right w:val="none" w:sz="0" w:space="0" w:color="auto"/>
      </w:divBdr>
    </w:div>
    <w:div w:id="1073895785">
      <w:bodyDiv w:val="1"/>
      <w:marLeft w:val="0"/>
      <w:marRight w:val="0"/>
      <w:marTop w:val="0"/>
      <w:marBottom w:val="0"/>
      <w:divBdr>
        <w:top w:val="none" w:sz="0" w:space="0" w:color="auto"/>
        <w:left w:val="none" w:sz="0" w:space="0" w:color="auto"/>
        <w:bottom w:val="none" w:sz="0" w:space="0" w:color="auto"/>
        <w:right w:val="none" w:sz="0" w:space="0" w:color="auto"/>
      </w:divBdr>
    </w:div>
    <w:div w:id="1103186030">
      <w:bodyDiv w:val="1"/>
      <w:marLeft w:val="0"/>
      <w:marRight w:val="0"/>
      <w:marTop w:val="0"/>
      <w:marBottom w:val="0"/>
      <w:divBdr>
        <w:top w:val="none" w:sz="0" w:space="0" w:color="auto"/>
        <w:left w:val="none" w:sz="0" w:space="0" w:color="auto"/>
        <w:bottom w:val="none" w:sz="0" w:space="0" w:color="auto"/>
        <w:right w:val="none" w:sz="0" w:space="0" w:color="auto"/>
      </w:divBdr>
    </w:div>
    <w:div w:id="1149590897">
      <w:bodyDiv w:val="1"/>
      <w:marLeft w:val="0"/>
      <w:marRight w:val="0"/>
      <w:marTop w:val="0"/>
      <w:marBottom w:val="0"/>
      <w:divBdr>
        <w:top w:val="none" w:sz="0" w:space="0" w:color="auto"/>
        <w:left w:val="none" w:sz="0" w:space="0" w:color="auto"/>
        <w:bottom w:val="none" w:sz="0" w:space="0" w:color="auto"/>
        <w:right w:val="none" w:sz="0" w:space="0" w:color="auto"/>
      </w:divBdr>
      <w:divsChild>
        <w:div w:id="525825548">
          <w:marLeft w:val="0"/>
          <w:marRight w:val="0"/>
          <w:marTop w:val="0"/>
          <w:marBottom w:val="0"/>
          <w:divBdr>
            <w:top w:val="none" w:sz="0" w:space="0" w:color="auto"/>
            <w:left w:val="none" w:sz="0" w:space="0" w:color="auto"/>
            <w:bottom w:val="none" w:sz="0" w:space="0" w:color="auto"/>
            <w:right w:val="none" w:sz="0" w:space="0" w:color="auto"/>
          </w:divBdr>
        </w:div>
      </w:divsChild>
    </w:div>
    <w:div w:id="1185829103">
      <w:bodyDiv w:val="1"/>
      <w:marLeft w:val="0"/>
      <w:marRight w:val="0"/>
      <w:marTop w:val="0"/>
      <w:marBottom w:val="0"/>
      <w:divBdr>
        <w:top w:val="none" w:sz="0" w:space="0" w:color="auto"/>
        <w:left w:val="none" w:sz="0" w:space="0" w:color="auto"/>
        <w:bottom w:val="none" w:sz="0" w:space="0" w:color="auto"/>
        <w:right w:val="none" w:sz="0" w:space="0" w:color="auto"/>
      </w:divBdr>
    </w:div>
    <w:div w:id="1358967493">
      <w:bodyDiv w:val="1"/>
      <w:marLeft w:val="0"/>
      <w:marRight w:val="0"/>
      <w:marTop w:val="0"/>
      <w:marBottom w:val="0"/>
      <w:divBdr>
        <w:top w:val="none" w:sz="0" w:space="0" w:color="auto"/>
        <w:left w:val="none" w:sz="0" w:space="0" w:color="auto"/>
        <w:bottom w:val="none" w:sz="0" w:space="0" w:color="auto"/>
        <w:right w:val="none" w:sz="0" w:space="0" w:color="auto"/>
      </w:divBdr>
    </w:div>
    <w:div w:id="1466507102">
      <w:bodyDiv w:val="1"/>
      <w:marLeft w:val="0"/>
      <w:marRight w:val="0"/>
      <w:marTop w:val="0"/>
      <w:marBottom w:val="0"/>
      <w:divBdr>
        <w:top w:val="none" w:sz="0" w:space="0" w:color="auto"/>
        <w:left w:val="none" w:sz="0" w:space="0" w:color="auto"/>
        <w:bottom w:val="none" w:sz="0" w:space="0" w:color="auto"/>
        <w:right w:val="none" w:sz="0" w:space="0" w:color="auto"/>
      </w:divBdr>
    </w:div>
    <w:div w:id="1595476555">
      <w:bodyDiv w:val="1"/>
      <w:marLeft w:val="0"/>
      <w:marRight w:val="0"/>
      <w:marTop w:val="0"/>
      <w:marBottom w:val="0"/>
      <w:divBdr>
        <w:top w:val="none" w:sz="0" w:space="0" w:color="auto"/>
        <w:left w:val="none" w:sz="0" w:space="0" w:color="auto"/>
        <w:bottom w:val="none" w:sz="0" w:space="0" w:color="auto"/>
        <w:right w:val="none" w:sz="0" w:space="0" w:color="auto"/>
      </w:divBdr>
    </w:div>
    <w:div w:id="1641499079">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http://purl.org/dc/terms/"/>
    <ds:schemaRef ds:uri="http://schemas.microsoft.com/office/2006/documentManagement/types"/>
    <ds:schemaRef ds:uri="http://schemas.microsoft.com/sharepoint/v3"/>
    <ds:schemaRef ds:uri="http://schemas.openxmlformats.org/package/2006/metadata/core-properties"/>
    <ds:schemaRef ds:uri="2f282d3b-eb4a-4b09-b61f-b9593442e286"/>
    <ds:schemaRef ds:uri="http://purl.org/dc/elements/1.1/"/>
    <ds:schemaRef ds:uri="http://schemas.microsoft.com/office/2006/metadata/properti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39C27FD1-2489-407A-ACF3-6A27B8DEF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C6EB213-FB1C-493F-8B0E-898CB8EB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0</TotalTime>
  <Pages>5</Pages>
  <Words>1918</Words>
  <Characters>10168</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12062</CharactersWithSpaces>
  <SharedDoc>false</SharedDoc>
  <HLinks>
    <vt:vector size="36" baseType="variant">
      <vt:variant>
        <vt:i4>1310779</vt:i4>
      </vt:variant>
      <vt:variant>
        <vt:i4>26</vt:i4>
      </vt:variant>
      <vt:variant>
        <vt:i4>0</vt:i4>
      </vt:variant>
      <vt:variant>
        <vt:i4>5</vt:i4>
      </vt:variant>
      <vt:variant>
        <vt:lpwstr/>
      </vt:variant>
      <vt:variant>
        <vt:lpwstr>_Toc66985815</vt:lpwstr>
      </vt:variant>
      <vt:variant>
        <vt:i4>1376315</vt:i4>
      </vt:variant>
      <vt:variant>
        <vt:i4>23</vt:i4>
      </vt:variant>
      <vt:variant>
        <vt:i4>0</vt:i4>
      </vt:variant>
      <vt:variant>
        <vt:i4>5</vt:i4>
      </vt:variant>
      <vt:variant>
        <vt:lpwstr/>
      </vt:variant>
      <vt:variant>
        <vt:lpwstr>_Toc66985814</vt:lpwstr>
      </vt:variant>
      <vt:variant>
        <vt:i4>1179707</vt:i4>
      </vt:variant>
      <vt:variant>
        <vt:i4>20</vt:i4>
      </vt:variant>
      <vt:variant>
        <vt:i4>0</vt:i4>
      </vt:variant>
      <vt:variant>
        <vt:i4>5</vt:i4>
      </vt:variant>
      <vt:variant>
        <vt:lpwstr/>
      </vt:variant>
      <vt:variant>
        <vt:lpwstr>_Toc66985813</vt:lpwstr>
      </vt:variant>
      <vt:variant>
        <vt:i4>1441851</vt:i4>
      </vt:variant>
      <vt:variant>
        <vt:i4>14</vt:i4>
      </vt:variant>
      <vt:variant>
        <vt:i4>0</vt:i4>
      </vt:variant>
      <vt:variant>
        <vt:i4>5</vt:i4>
      </vt:variant>
      <vt:variant>
        <vt:lpwstr/>
      </vt:variant>
      <vt:variant>
        <vt:lpwstr>_Toc66985817</vt:lpwstr>
      </vt:variant>
      <vt:variant>
        <vt:i4>1507387</vt:i4>
      </vt:variant>
      <vt:variant>
        <vt:i4>11</vt:i4>
      </vt:variant>
      <vt:variant>
        <vt:i4>0</vt:i4>
      </vt:variant>
      <vt:variant>
        <vt:i4>5</vt:i4>
      </vt:variant>
      <vt:variant>
        <vt:lpwstr/>
      </vt:variant>
      <vt:variant>
        <vt:lpwstr>_Toc66985816</vt:lpwstr>
      </vt:variant>
      <vt:variant>
        <vt:i4>1310782</vt:i4>
      </vt:variant>
      <vt:variant>
        <vt:i4>5</vt:i4>
      </vt:variant>
      <vt:variant>
        <vt:i4>0</vt:i4>
      </vt:variant>
      <vt:variant>
        <vt:i4>5</vt:i4>
      </vt:variant>
      <vt:variant>
        <vt:lpwstr/>
      </vt:variant>
      <vt:variant>
        <vt:lpwstr>_Toc46845071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2021-10-21T18:01:00Z</dcterms:created>
  <dcterms:modified xsi:type="dcterms:W3CDTF">2021-10-21T18:01:00Z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